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6E" w:rsidRDefault="003D6C6E" w:rsidP="001630C0">
      <w:pPr>
        <w:jc w:val="both"/>
        <w:rPr>
          <w:rFonts w:ascii="Baskerville Old Face" w:hAnsi="Baskerville Old Face" w:cs="Arial"/>
          <w:b/>
          <w:szCs w:val="24"/>
          <w:lang w:val="es-MX"/>
        </w:rPr>
      </w:pPr>
    </w:p>
    <w:p w:rsidR="001630C0" w:rsidRDefault="001630C0" w:rsidP="00F44359">
      <w:pPr>
        <w:jc w:val="center"/>
        <w:rPr>
          <w:rFonts w:ascii="Baskerville Old Face" w:hAnsi="Baskerville Old Face" w:cs="Arial"/>
          <w:b/>
          <w:szCs w:val="24"/>
          <w:lang w:val="es-MX"/>
        </w:rPr>
      </w:pPr>
      <w:r>
        <w:rPr>
          <w:rFonts w:ascii="Baskerville Old Face" w:hAnsi="Baskerville Old Face" w:cs="Arial"/>
          <w:b/>
          <w:szCs w:val="24"/>
          <w:lang w:val="es-MX"/>
        </w:rPr>
        <w:t>ANEXO A.3 MEMORIA DESCRIPTIVA DEL SERVICIO</w:t>
      </w:r>
    </w:p>
    <w:p w:rsidR="007C33CA" w:rsidRDefault="007C33CA" w:rsidP="001630C0">
      <w:pPr>
        <w:jc w:val="both"/>
        <w:rPr>
          <w:rFonts w:ascii="Baskerville Old Face" w:hAnsi="Baskerville Old Face" w:cs="Arial"/>
          <w:b/>
          <w:szCs w:val="24"/>
          <w:lang w:val="es-MX"/>
        </w:rPr>
      </w:pPr>
    </w:p>
    <w:p w:rsidR="007C33CA" w:rsidRDefault="007C33CA" w:rsidP="001630C0">
      <w:pPr>
        <w:jc w:val="both"/>
        <w:rPr>
          <w:rFonts w:ascii="Baskerville Old Face" w:hAnsi="Baskerville Old Face" w:cs="Arial"/>
          <w:b/>
          <w:szCs w:val="24"/>
          <w:lang w:val="es-MX"/>
        </w:rPr>
      </w:pPr>
    </w:p>
    <w:p w:rsidR="00DD6D1A" w:rsidRPr="007C33CA" w:rsidRDefault="007C33CA" w:rsidP="00DD6D1A">
      <w:pPr>
        <w:pStyle w:val="Textoindependiente21"/>
        <w:tabs>
          <w:tab w:val="left" w:pos="9356"/>
        </w:tabs>
        <w:ind w:left="0" w:right="48"/>
        <w:rPr>
          <w:rFonts w:ascii="Baskerville Old Face" w:hAnsi="Baskerville Old Face" w:cs="Arial"/>
          <w:b/>
          <w:spacing w:val="50"/>
          <w:sz w:val="24"/>
          <w:szCs w:val="24"/>
          <w:lang w:val="es-MX"/>
        </w:rPr>
      </w:pPr>
      <w:r>
        <w:rPr>
          <w:rFonts w:ascii="Baskerville Old Face" w:hAnsi="Baskerville Old Face"/>
          <w:sz w:val="24"/>
          <w:szCs w:val="24"/>
          <w:lang w:val="es-MX"/>
        </w:rPr>
        <w:t>En este apartado se enunciar</w:t>
      </w:r>
      <w:r w:rsidR="006A2F04">
        <w:rPr>
          <w:rFonts w:ascii="Baskerville Old Face" w:hAnsi="Baskerville Old Face"/>
          <w:sz w:val="24"/>
          <w:szCs w:val="24"/>
          <w:lang w:val="es-MX"/>
        </w:rPr>
        <w:t>á</w:t>
      </w:r>
      <w:r>
        <w:rPr>
          <w:rFonts w:ascii="Baskerville Old Face" w:hAnsi="Baskerville Old Face"/>
          <w:sz w:val="24"/>
          <w:szCs w:val="24"/>
          <w:lang w:val="es-MX"/>
        </w:rPr>
        <w:t xml:space="preserve"> en forma breve y general el objeto de la contratación de los </w:t>
      </w:r>
      <w:r w:rsidRPr="00DD6D1A">
        <w:rPr>
          <w:rFonts w:ascii="Baskerville Old Face" w:hAnsi="Baskerville Old Face"/>
          <w:b/>
          <w:sz w:val="24"/>
          <w:szCs w:val="24"/>
          <w:lang w:val="es-MX"/>
        </w:rPr>
        <w:t xml:space="preserve">Servicios de </w:t>
      </w:r>
      <w:r w:rsidR="00585DAF" w:rsidRPr="00DD6D1A">
        <w:rPr>
          <w:rFonts w:ascii="Baskerville Old Face" w:hAnsi="Baskerville Old Face"/>
          <w:b/>
          <w:sz w:val="24"/>
          <w:szCs w:val="24"/>
          <w:lang w:val="es-MX"/>
        </w:rPr>
        <w:t>Supervisión</w:t>
      </w:r>
      <w:r w:rsidR="00585DAF" w:rsidRPr="009D5ACF">
        <w:rPr>
          <w:rFonts w:ascii="Baskerville Old Face" w:hAnsi="Baskerville Old Face"/>
          <w:b/>
          <w:sz w:val="24"/>
          <w:szCs w:val="24"/>
          <w:lang w:val="es-MX"/>
        </w:rPr>
        <w:t xml:space="preserve"> </w:t>
      </w:r>
      <w:r w:rsidR="00C00303">
        <w:rPr>
          <w:rFonts w:ascii="Baskerville Old Face" w:hAnsi="Baskerville Old Face"/>
          <w:b/>
          <w:sz w:val="24"/>
          <w:szCs w:val="24"/>
          <w:lang w:val="es-MX"/>
        </w:rPr>
        <w:t xml:space="preserve">Técnica </w:t>
      </w:r>
      <w:r w:rsidR="00585DAF" w:rsidRPr="009D5ACF">
        <w:rPr>
          <w:rFonts w:ascii="Baskerville Old Face" w:hAnsi="Baskerville Old Face"/>
          <w:b/>
          <w:sz w:val="24"/>
          <w:szCs w:val="24"/>
          <w:lang w:val="es-MX"/>
        </w:rPr>
        <w:t xml:space="preserve">y Control de Calidad de la Obra: </w:t>
      </w:r>
      <w:r w:rsidR="006A2F04" w:rsidRPr="00A97A80">
        <w:rPr>
          <w:rFonts w:ascii="Baskerville Old Face" w:hAnsi="Baskerville Old Face" w:cs="Arial"/>
          <w:b/>
          <w:bCs/>
          <w:sz w:val="24"/>
          <w:szCs w:val="24"/>
        </w:rPr>
        <w:t>Construcción de entronques Mérida y Valladolid en los kilómetros 5+950 y 8</w:t>
      </w:r>
      <w:r w:rsidR="006A2F04">
        <w:rPr>
          <w:rFonts w:ascii="Baskerville Old Face" w:hAnsi="Baskerville Old Face" w:cs="Arial"/>
          <w:b/>
          <w:bCs/>
          <w:sz w:val="24"/>
          <w:szCs w:val="24"/>
        </w:rPr>
        <w:t xml:space="preserve">+850, respectivamente, así como </w:t>
      </w:r>
      <w:r w:rsidR="006A2F04" w:rsidRPr="00A97A80">
        <w:rPr>
          <w:rFonts w:ascii="Baskerville Old Face" w:hAnsi="Baskerville Old Face" w:cs="Arial"/>
          <w:b/>
          <w:bCs/>
          <w:sz w:val="24"/>
          <w:szCs w:val="24"/>
        </w:rPr>
        <w:t>construcción de Plaza de Cobro troncal y 2 auxiliares en el entronque Mérida km 5+950 del Libramiento Felipe Carrillo Puerto en el Estado de Quintana Roo</w:t>
      </w:r>
      <w:r w:rsidR="006A2F04">
        <w:rPr>
          <w:rFonts w:ascii="Baskerville Old Face" w:hAnsi="Baskerville Old Face" w:cs="Arial"/>
          <w:b/>
          <w:bCs/>
          <w:sz w:val="24"/>
          <w:szCs w:val="24"/>
        </w:rPr>
        <w:t>.</w:t>
      </w:r>
      <w:r w:rsidR="00DD6D1A" w:rsidRPr="007C33CA">
        <w:rPr>
          <w:rFonts w:ascii="Baskerville Old Face" w:hAnsi="Baskerville Old Face" w:cs="Arial"/>
          <w:b/>
          <w:sz w:val="24"/>
          <w:szCs w:val="24"/>
        </w:rPr>
        <w:t xml:space="preserve"> </w:t>
      </w:r>
      <w:r w:rsidR="00DD6D1A" w:rsidRPr="007C33CA">
        <w:rPr>
          <w:rFonts w:ascii="Baskerville Old Face" w:hAnsi="Baskerville Old Face" w:cs="Arial"/>
          <w:b/>
          <w:sz w:val="24"/>
          <w:szCs w:val="24"/>
          <w:lang w:val="es-MX"/>
        </w:rPr>
        <w:t xml:space="preserve"> </w:t>
      </w:r>
    </w:p>
    <w:p w:rsidR="00DD6D1A" w:rsidRPr="00DD6D1A" w:rsidRDefault="00DD6D1A" w:rsidP="00DD6D1A">
      <w:pPr>
        <w:pStyle w:val="Textoindependiente"/>
        <w:rPr>
          <w:rFonts w:ascii="Baskerville Old Face" w:hAnsi="Baskerville Old Face"/>
          <w:szCs w:val="24"/>
          <w:lang w:val="es-MX"/>
        </w:rPr>
      </w:pPr>
    </w:p>
    <w:p w:rsidR="00DD6D1A" w:rsidRPr="00DD6D1A" w:rsidRDefault="00DD6D1A" w:rsidP="007C33CA">
      <w:pPr>
        <w:pStyle w:val="Textoindependiente21"/>
        <w:tabs>
          <w:tab w:val="left" w:pos="9356"/>
        </w:tabs>
        <w:ind w:left="0" w:right="48"/>
        <w:rPr>
          <w:rFonts w:ascii="Baskerville Old Face" w:hAnsi="Baskerville Old Face"/>
          <w:b/>
          <w:sz w:val="24"/>
          <w:szCs w:val="24"/>
        </w:rPr>
      </w:pPr>
    </w:p>
    <w:p w:rsidR="00DD6D1A" w:rsidRDefault="00DD6D1A" w:rsidP="007C33CA">
      <w:pPr>
        <w:pStyle w:val="Textoindependiente21"/>
        <w:tabs>
          <w:tab w:val="left" w:pos="9356"/>
        </w:tabs>
        <w:ind w:left="0" w:right="48"/>
        <w:rPr>
          <w:rFonts w:ascii="Baskerville Old Face" w:hAnsi="Baskerville Old Face"/>
          <w:b/>
          <w:sz w:val="24"/>
          <w:szCs w:val="24"/>
          <w:lang w:val="es-MX"/>
        </w:rPr>
      </w:pPr>
    </w:p>
    <w:p w:rsidR="001630C0" w:rsidRPr="003B1174" w:rsidRDefault="001630C0" w:rsidP="001630C0">
      <w:pPr>
        <w:jc w:val="both"/>
        <w:rPr>
          <w:rFonts w:ascii="Baskerville Old Face" w:hAnsi="Baskerville Old Face" w:cs="Arial"/>
          <w:b/>
          <w:szCs w:val="24"/>
          <w:lang w:val="es-MX"/>
        </w:rPr>
      </w:pPr>
    </w:p>
    <w:p w:rsidR="001630C0" w:rsidRPr="003B1174" w:rsidRDefault="001630C0" w:rsidP="001630C0">
      <w:pPr>
        <w:pStyle w:val="Textoindependiente"/>
        <w:spacing w:line="252" w:lineRule="auto"/>
        <w:rPr>
          <w:rFonts w:ascii="Baskerville Old Face" w:hAnsi="Baskerville Old Face" w:cs="Arial"/>
          <w:szCs w:val="24"/>
          <w:lang w:val="es-MX"/>
        </w:rPr>
      </w:pPr>
      <w:r w:rsidRPr="003B1174">
        <w:rPr>
          <w:rFonts w:ascii="Baskerville Old Face" w:hAnsi="Baskerville Old Face" w:cs="Arial"/>
          <w:szCs w:val="24"/>
          <w:lang w:val="es-MX"/>
        </w:rPr>
        <w:t>La empresa de supervisión se considera como una extensión de BANOBRAS, S.N.C.</w:t>
      </w:r>
      <w:r w:rsidR="00C12613">
        <w:rPr>
          <w:rFonts w:ascii="Baskerville Old Face" w:hAnsi="Baskerville Old Face" w:cs="Arial"/>
          <w:szCs w:val="24"/>
          <w:lang w:val="es-MX"/>
        </w:rPr>
        <w:t xml:space="preserve">, como </w:t>
      </w:r>
      <w:r w:rsidR="00F7316D">
        <w:rPr>
          <w:rFonts w:ascii="Baskerville Old Face" w:hAnsi="Baskerville Old Face" w:cs="Arial"/>
          <w:szCs w:val="24"/>
          <w:lang w:val="es-MX"/>
        </w:rPr>
        <w:t>Fiduciario</w:t>
      </w:r>
      <w:r w:rsidR="00C12613">
        <w:rPr>
          <w:rFonts w:ascii="Baskerville Old Face" w:hAnsi="Baskerville Old Face" w:cs="Arial"/>
          <w:szCs w:val="24"/>
          <w:lang w:val="es-MX"/>
        </w:rPr>
        <w:t xml:space="preserve"> en el </w:t>
      </w:r>
      <w:r w:rsidR="00F7316D">
        <w:rPr>
          <w:rFonts w:ascii="Baskerville Old Face" w:hAnsi="Baskerville Old Face" w:cs="Arial"/>
          <w:szCs w:val="24"/>
          <w:lang w:val="es-MX"/>
        </w:rPr>
        <w:t>Fideicomiso</w:t>
      </w:r>
      <w:r w:rsidR="00C12613">
        <w:rPr>
          <w:rFonts w:ascii="Baskerville Old Face" w:hAnsi="Baskerville Old Face" w:cs="Arial"/>
          <w:szCs w:val="24"/>
          <w:lang w:val="es-MX"/>
        </w:rPr>
        <w:t xml:space="preserve"> 1936 Fondo Nacional de Infraestructura,</w:t>
      </w:r>
      <w:r w:rsidRPr="003B1174">
        <w:rPr>
          <w:rFonts w:ascii="Baskerville Old Face" w:hAnsi="Baskerville Old Face" w:cs="Arial"/>
          <w:szCs w:val="24"/>
          <w:lang w:val="es-MX"/>
        </w:rPr>
        <w:t xml:space="preserve"> en cuanto a su relación de trabajo; por lo tanto, debe estar integrada a la misma, identificarse plenamente con sus políticas y metas y ser corresponsable en la consecución del objetivo </w:t>
      </w:r>
      <w:r w:rsidR="00C12613" w:rsidRPr="003B1174">
        <w:rPr>
          <w:rFonts w:ascii="Baskerville Old Face" w:hAnsi="Baskerville Old Face" w:cs="Arial"/>
          <w:szCs w:val="24"/>
          <w:lang w:val="es-MX"/>
        </w:rPr>
        <w:t>com</w:t>
      </w:r>
      <w:r w:rsidR="00C12613">
        <w:rPr>
          <w:rFonts w:ascii="Baskerville Old Face" w:hAnsi="Baskerville Old Face" w:cs="Arial"/>
          <w:szCs w:val="24"/>
          <w:lang w:val="es-MX"/>
        </w:rPr>
        <w:t>ú</w:t>
      </w:r>
      <w:r w:rsidR="00C12613" w:rsidRPr="003B1174">
        <w:rPr>
          <w:rFonts w:ascii="Baskerville Old Face" w:hAnsi="Baskerville Old Face" w:cs="Arial"/>
          <w:szCs w:val="24"/>
          <w:lang w:val="es-MX"/>
        </w:rPr>
        <w:t>n</w:t>
      </w:r>
      <w:r w:rsidRPr="003B1174">
        <w:rPr>
          <w:rFonts w:ascii="Baskerville Old Face" w:hAnsi="Baskerville Old Face" w:cs="Arial"/>
          <w:szCs w:val="24"/>
          <w:lang w:val="es-MX"/>
        </w:rPr>
        <w:t>; optimizar la calidad, costo, tiempo de ejecución y seguridad de la obra.</w:t>
      </w:r>
    </w:p>
    <w:p w:rsidR="001630C0" w:rsidRPr="003B1174" w:rsidRDefault="001630C0" w:rsidP="001630C0">
      <w:pPr>
        <w:pStyle w:val="Textoindependiente"/>
        <w:spacing w:line="252" w:lineRule="auto"/>
        <w:rPr>
          <w:rFonts w:ascii="Baskerville Old Face" w:hAnsi="Baskerville Old Face" w:cs="Arial"/>
          <w:szCs w:val="24"/>
          <w:lang w:val="es-MX"/>
        </w:rPr>
      </w:pPr>
      <w:r w:rsidRPr="003B1174">
        <w:rPr>
          <w:rFonts w:ascii="Baskerville Old Face" w:hAnsi="Baskerville Old Face" w:cs="Arial"/>
          <w:szCs w:val="24"/>
          <w:lang w:val="es-MX"/>
        </w:rPr>
        <w:t xml:space="preserve"> </w:t>
      </w:r>
    </w:p>
    <w:p w:rsidR="001630C0" w:rsidRPr="003B1174" w:rsidRDefault="001630C0" w:rsidP="001630C0">
      <w:pPr>
        <w:pStyle w:val="Textoindependiente21"/>
        <w:tabs>
          <w:tab w:val="left" w:pos="9356"/>
        </w:tabs>
        <w:ind w:left="0" w:right="48"/>
        <w:rPr>
          <w:rFonts w:ascii="Baskerville Old Face" w:hAnsi="Baskerville Old Face" w:cs="Arial"/>
          <w:b/>
          <w:spacing w:val="50"/>
          <w:sz w:val="24"/>
          <w:szCs w:val="24"/>
          <w:lang w:val="es-MX"/>
        </w:rPr>
      </w:pPr>
      <w:r w:rsidRPr="003B1174">
        <w:rPr>
          <w:rFonts w:ascii="Baskerville Old Face" w:hAnsi="Baskerville Old Face" w:cs="Arial"/>
          <w:sz w:val="24"/>
          <w:szCs w:val="24"/>
          <w:lang w:val="es-MX"/>
        </w:rPr>
        <w:t>La empresa supervisora será responsable de vigilar que la obra se ejecute de acuerdo con el proyecto y sus especificaciones, con la calidad requerida, dentro de los plazos establecidos y presupuestos, así como de que se cumpla con todos los ordenamientos legales, se adopten procedimientos constructivos aceptables, se establezcan los sistemas de seguridad en la obra, se atenúe el impacto ecológico y se realicen las acciones de mitigación al impacto ambiental, se disponga oportunamente de la documentación que permita la conducción efectiva de la obra, así como de la retribución oportuna de la Constructora, integrando el Expediente Unitario de la Obra que permita a los Órganos de Control fiscalizar y auditar la obra:</w:t>
      </w:r>
      <w:r w:rsidR="00585DAF" w:rsidRPr="00585DAF">
        <w:rPr>
          <w:rFonts w:ascii="Baskerville Old Face" w:hAnsi="Baskerville Old Face"/>
          <w:b/>
          <w:sz w:val="24"/>
          <w:szCs w:val="24"/>
          <w:lang w:val="es-MX"/>
        </w:rPr>
        <w:t xml:space="preserve"> </w:t>
      </w:r>
      <w:r w:rsidR="006A2F04">
        <w:rPr>
          <w:rFonts w:ascii="Baskerville Old Face" w:hAnsi="Baskerville Old Face" w:cs="Arial"/>
          <w:iCs/>
          <w:sz w:val="24"/>
          <w:szCs w:val="24"/>
        </w:rPr>
        <w:t>“</w:t>
      </w:r>
      <w:r w:rsidR="006A2F04" w:rsidRPr="00A97A80">
        <w:rPr>
          <w:rFonts w:ascii="Baskerville Old Face" w:hAnsi="Baskerville Old Face" w:cs="Arial"/>
          <w:b/>
          <w:bCs/>
          <w:sz w:val="24"/>
          <w:szCs w:val="24"/>
        </w:rPr>
        <w:t>Construcción de entronques Mérida y Valladolid en los kilómetros 5+950 y 8</w:t>
      </w:r>
      <w:r w:rsidR="006A2F04">
        <w:rPr>
          <w:rFonts w:ascii="Baskerville Old Face" w:hAnsi="Baskerville Old Face" w:cs="Arial"/>
          <w:b/>
          <w:bCs/>
          <w:sz w:val="24"/>
          <w:szCs w:val="24"/>
        </w:rPr>
        <w:t xml:space="preserve">+850, respectivamente, así como </w:t>
      </w:r>
      <w:r w:rsidR="006A2F04" w:rsidRPr="00A97A80">
        <w:rPr>
          <w:rFonts w:ascii="Baskerville Old Face" w:hAnsi="Baskerville Old Face" w:cs="Arial"/>
          <w:b/>
          <w:bCs/>
          <w:sz w:val="24"/>
          <w:szCs w:val="24"/>
        </w:rPr>
        <w:t>construcción de Plaza de Cobro troncal y 2 auxiliares en el entronque Mérida km 5+950 del Libramiento Felipe Carrillo Puerto en el Estado de Quintana Roo</w:t>
      </w:r>
      <w:r w:rsidR="006A2F04">
        <w:rPr>
          <w:rFonts w:ascii="Baskerville Old Face" w:hAnsi="Baskerville Old Face" w:cs="Arial"/>
          <w:b/>
          <w:bCs/>
          <w:sz w:val="24"/>
          <w:szCs w:val="24"/>
        </w:rPr>
        <w:t>,</w:t>
      </w:r>
      <w:r w:rsidR="00585DAF" w:rsidRPr="007C33CA">
        <w:rPr>
          <w:rFonts w:ascii="Baskerville Old Face" w:hAnsi="Baskerville Old Face" w:cs="Arial"/>
          <w:b/>
          <w:sz w:val="24"/>
          <w:szCs w:val="24"/>
        </w:rPr>
        <w:t xml:space="preserve"> </w:t>
      </w:r>
      <w:r w:rsidRPr="003B1174">
        <w:rPr>
          <w:rFonts w:ascii="Baskerville Old Face" w:hAnsi="Baskerville Old Face" w:cs="Arial"/>
          <w:sz w:val="24"/>
          <w:szCs w:val="24"/>
          <w:lang w:val="es-MX"/>
        </w:rPr>
        <w:t>realizando para todo ello las acciones que en forma enunciativa pero no limitativa, se describen más adelante.</w:t>
      </w:r>
    </w:p>
    <w:p w:rsidR="001630C0" w:rsidRPr="003B1174" w:rsidRDefault="001630C0" w:rsidP="001630C0">
      <w:pPr>
        <w:pStyle w:val="Textoindependiente21"/>
        <w:tabs>
          <w:tab w:val="left" w:pos="9356"/>
        </w:tabs>
        <w:spacing w:line="252" w:lineRule="auto"/>
        <w:ind w:left="0" w:right="48"/>
        <w:rPr>
          <w:rFonts w:ascii="Baskerville Old Face" w:hAnsi="Baskerville Old Face" w:cs="Arial"/>
          <w:sz w:val="24"/>
          <w:szCs w:val="24"/>
          <w:lang w:val="es-MX"/>
        </w:rPr>
      </w:pPr>
    </w:p>
    <w:p w:rsidR="001630C0" w:rsidRPr="003B1174" w:rsidRDefault="006A2F04" w:rsidP="001630C0">
      <w:pPr>
        <w:pStyle w:val="Textoindependiente21"/>
        <w:tabs>
          <w:tab w:val="left" w:pos="9356"/>
        </w:tabs>
        <w:spacing w:line="252" w:lineRule="auto"/>
        <w:ind w:left="0" w:right="48"/>
        <w:rPr>
          <w:rFonts w:ascii="Baskerville Old Face" w:hAnsi="Baskerville Old Face" w:cs="Arial"/>
          <w:sz w:val="24"/>
          <w:szCs w:val="24"/>
          <w:lang w:val="es-MX"/>
        </w:rPr>
      </w:pPr>
      <w:r>
        <w:rPr>
          <w:rFonts w:ascii="Baskerville Old Face" w:hAnsi="Baskerville Old Face" w:cs="Arial"/>
          <w:sz w:val="24"/>
          <w:szCs w:val="24"/>
          <w:lang w:val="es-MX"/>
        </w:rPr>
        <w:t>L</w:t>
      </w:r>
      <w:r w:rsidR="001630C0" w:rsidRPr="003B1174">
        <w:rPr>
          <w:rFonts w:ascii="Baskerville Old Face" w:hAnsi="Baskerville Old Face" w:cs="Arial"/>
          <w:sz w:val="24"/>
          <w:szCs w:val="24"/>
          <w:lang w:val="es-MX"/>
        </w:rPr>
        <w:t xml:space="preserve">a relación funcional directa de la empresa supervisora será con el </w:t>
      </w:r>
      <w:r>
        <w:rPr>
          <w:rFonts w:ascii="Baskerville Old Face" w:hAnsi="Baskerville Old Face" w:cs="Arial"/>
          <w:sz w:val="24"/>
          <w:szCs w:val="24"/>
          <w:lang w:val="es-MX"/>
        </w:rPr>
        <w:t>R</w:t>
      </w:r>
      <w:r w:rsidR="001630C0" w:rsidRPr="003B1174">
        <w:rPr>
          <w:rFonts w:ascii="Baskerville Old Face" w:hAnsi="Baskerville Old Face" w:cs="Arial"/>
          <w:sz w:val="24"/>
          <w:szCs w:val="24"/>
          <w:lang w:val="es-MX"/>
        </w:rPr>
        <w:t>esidente de Obra</w:t>
      </w:r>
      <w:r w:rsidR="004C79C2">
        <w:rPr>
          <w:rFonts w:ascii="Baskerville Old Face" w:hAnsi="Baskerville Old Face" w:cs="Arial"/>
          <w:sz w:val="24"/>
          <w:szCs w:val="24"/>
          <w:lang w:val="es-MX"/>
        </w:rPr>
        <w:t>s</w:t>
      </w:r>
      <w:r w:rsidR="001630C0" w:rsidRPr="003B1174">
        <w:rPr>
          <w:rFonts w:ascii="Baskerville Old Face" w:hAnsi="Baskerville Old Face" w:cs="Arial"/>
          <w:sz w:val="24"/>
          <w:szCs w:val="24"/>
          <w:lang w:val="es-MX"/>
        </w:rPr>
        <w:t xml:space="preserve"> de BANOBRAS, S.N.C.</w:t>
      </w:r>
      <w:r w:rsidR="00DF208D">
        <w:rPr>
          <w:rFonts w:ascii="Baskerville Old Face" w:hAnsi="Baskerville Old Face" w:cs="Arial"/>
          <w:sz w:val="24"/>
          <w:szCs w:val="24"/>
          <w:lang w:val="es-MX"/>
        </w:rPr>
        <w:t xml:space="preserve"> como F</w:t>
      </w:r>
      <w:bookmarkStart w:id="0" w:name="_GoBack"/>
      <w:bookmarkEnd w:id="0"/>
      <w:r w:rsidR="004C79C2">
        <w:rPr>
          <w:rFonts w:ascii="Baskerville Old Face" w:hAnsi="Baskerville Old Face" w:cs="Arial"/>
          <w:sz w:val="24"/>
          <w:szCs w:val="24"/>
          <w:lang w:val="es-MX"/>
        </w:rPr>
        <w:t xml:space="preserve">iduciaria en el </w:t>
      </w:r>
      <w:r w:rsidR="00F7316D">
        <w:rPr>
          <w:rFonts w:ascii="Baskerville Old Face" w:hAnsi="Baskerville Old Face" w:cs="Arial"/>
          <w:sz w:val="24"/>
          <w:szCs w:val="24"/>
          <w:lang w:val="es-MX"/>
        </w:rPr>
        <w:t>Fideicomiso</w:t>
      </w:r>
      <w:r w:rsidR="004C79C2">
        <w:rPr>
          <w:rFonts w:ascii="Baskerville Old Face" w:hAnsi="Baskerville Old Face" w:cs="Arial"/>
          <w:sz w:val="24"/>
          <w:szCs w:val="24"/>
          <w:lang w:val="es-MX"/>
        </w:rPr>
        <w:t xml:space="preserve"> 1936 Fondo Nacional de Infraestructura</w:t>
      </w:r>
      <w:r w:rsidR="001630C0" w:rsidRPr="003B1174">
        <w:rPr>
          <w:rFonts w:ascii="Baskerville Old Face" w:hAnsi="Baskerville Old Face" w:cs="Arial"/>
          <w:sz w:val="24"/>
          <w:szCs w:val="24"/>
          <w:lang w:val="es-MX"/>
        </w:rPr>
        <w:t>, quien tiene a su cargo la Dirección de la Obra con la responsabilidad de dirigir, coordinar y orientar al grupo de trabajo que interviene en la ejecución de la obra, de la que forma parte la Supervisora y la Constructora con quien mantendrá comunicación permanente y de quien recibirá las autorizaciones necesarias para la conducción de la obra.</w:t>
      </w:r>
    </w:p>
    <w:p w:rsidR="0067386A" w:rsidRDefault="0067386A"/>
    <w:p w:rsidR="006A2F04" w:rsidRDefault="006A2F04" w:rsidP="001630C0">
      <w:pPr>
        <w:jc w:val="both"/>
        <w:rPr>
          <w:rFonts w:ascii="Baskerville Old Face" w:hAnsi="Baskerville Old Face"/>
          <w:b/>
          <w:szCs w:val="24"/>
          <w:lang w:val="es-MX"/>
        </w:rPr>
      </w:pPr>
    </w:p>
    <w:p w:rsidR="001630C0" w:rsidRPr="00D03E21" w:rsidRDefault="001630C0" w:rsidP="001630C0">
      <w:pPr>
        <w:jc w:val="both"/>
        <w:rPr>
          <w:rFonts w:ascii="Baskerville Old Face" w:hAnsi="Baskerville Old Face"/>
          <w:b/>
          <w:szCs w:val="24"/>
          <w:lang w:val="es-MX"/>
        </w:rPr>
      </w:pPr>
      <w:r w:rsidRPr="00D03E21">
        <w:rPr>
          <w:rFonts w:ascii="Baskerville Old Face" w:hAnsi="Baskerville Old Face"/>
          <w:b/>
          <w:szCs w:val="24"/>
          <w:lang w:val="es-MX"/>
        </w:rPr>
        <w:t xml:space="preserve">LABORES A DESARROLLAR </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jc w:val="both"/>
        <w:rPr>
          <w:rFonts w:ascii="Baskerville Old Face" w:hAnsi="Baskerville Old Face"/>
          <w:szCs w:val="24"/>
          <w:lang w:val="es-MX"/>
        </w:rPr>
      </w:pPr>
      <w:r w:rsidRPr="00D03E21">
        <w:rPr>
          <w:rFonts w:ascii="Baskerville Old Face" w:hAnsi="Baskerville Old Face"/>
          <w:szCs w:val="24"/>
          <w:lang w:val="es-MX"/>
        </w:rPr>
        <w:t xml:space="preserve">La empresa de supervisión entregará a informe de la revisión del Programa de volúmenes del </w:t>
      </w:r>
      <w:r w:rsidR="007C33CA" w:rsidRPr="00D03E21">
        <w:rPr>
          <w:rFonts w:ascii="Baskerville Old Face" w:hAnsi="Baskerville Old Face"/>
          <w:szCs w:val="24"/>
          <w:lang w:val="es-MX"/>
        </w:rPr>
        <w:t>catálogo</w:t>
      </w:r>
      <w:r w:rsidRPr="00D03E21">
        <w:rPr>
          <w:rFonts w:ascii="Baskerville Old Face" w:hAnsi="Baskerville Old Face"/>
          <w:szCs w:val="24"/>
          <w:lang w:val="es-MX"/>
        </w:rPr>
        <w:t xml:space="preserve"> de conceptos de la obra por supervisar, considerando como mínimo los siguientes aspectos:</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b/>
          <w:szCs w:val="24"/>
          <w:lang w:val="es-MX"/>
        </w:rPr>
        <w:t>Análisis del entorno en donde se desarrollar</w:t>
      </w:r>
      <w:r w:rsidR="006A2F04">
        <w:rPr>
          <w:rFonts w:ascii="Baskerville Old Face" w:hAnsi="Baskerville Old Face"/>
          <w:b/>
          <w:szCs w:val="24"/>
          <w:lang w:val="es-MX"/>
        </w:rPr>
        <w:t>á</w:t>
      </w:r>
      <w:r w:rsidRPr="00D03E21">
        <w:rPr>
          <w:rFonts w:ascii="Baskerville Old Face" w:hAnsi="Baskerville Old Face"/>
          <w:b/>
          <w:szCs w:val="24"/>
          <w:lang w:val="es-MX"/>
        </w:rPr>
        <w:t xml:space="preserve"> la obra</w:t>
      </w:r>
      <w:r w:rsidRPr="00D03E21">
        <w:rPr>
          <w:rFonts w:ascii="Baskerville Old Face" w:hAnsi="Baskerville Old Face"/>
          <w:szCs w:val="24"/>
          <w:lang w:val="es-MX"/>
        </w:rPr>
        <w:t>. (mediante el cual se determinará entre otras</w:t>
      </w:r>
      <w:r w:rsidR="006A2F04">
        <w:rPr>
          <w:rFonts w:ascii="Baskerville Old Face" w:hAnsi="Baskerville Old Face"/>
          <w:szCs w:val="24"/>
          <w:lang w:val="es-MX"/>
        </w:rPr>
        <w:t>,</w:t>
      </w:r>
      <w:r w:rsidRPr="00D03E21">
        <w:rPr>
          <w:rFonts w:ascii="Baskerville Old Face" w:hAnsi="Baskerville Old Face"/>
          <w:szCs w:val="24"/>
          <w:lang w:val="es-MX"/>
        </w:rPr>
        <w:t xml:space="preserve"> las condiciones: climáticas, lluvias, etc., en las que se desarrollar</w:t>
      </w:r>
      <w:r w:rsidR="006A2F04">
        <w:rPr>
          <w:rFonts w:ascii="Baskerville Old Face" w:hAnsi="Baskerville Old Face"/>
          <w:szCs w:val="24"/>
          <w:lang w:val="es-MX"/>
        </w:rPr>
        <w:t>á</w:t>
      </w:r>
      <w:r w:rsidRPr="00D03E21">
        <w:rPr>
          <w:rFonts w:ascii="Baskerville Old Face" w:hAnsi="Baskerville Old Face"/>
          <w:szCs w:val="24"/>
          <w:lang w:val="es-MX"/>
        </w:rPr>
        <w:t>n los trabajos) Inventario de las condiciones físicas del sitio de los trabajos (deterioros).</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b/>
          <w:szCs w:val="24"/>
          <w:lang w:val="es-MX"/>
        </w:rPr>
        <w:t xml:space="preserve">Revisión de cantidades de obra del catálogo de conceptos de </w:t>
      </w:r>
      <w:r w:rsidR="000B276A">
        <w:rPr>
          <w:rFonts w:ascii="Baskerville Old Face" w:hAnsi="Baskerville Old Face"/>
          <w:b/>
          <w:szCs w:val="24"/>
          <w:lang w:val="es-MX"/>
        </w:rPr>
        <w:t>licitación</w:t>
      </w:r>
      <w:r w:rsidRPr="00D03E21">
        <w:rPr>
          <w:rFonts w:ascii="Baskerville Old Face" w:hAnsi="Baskerville Old Face"/>
          <w:szCs w:val="24"/>
          <w:lang w:val="es-MX"/>
        </w:rPr>
        <w:t xml:space="preserve">, del </w:t>
      </w:r>
      <w:r w:rsidR="007221B2">
        <w:rPr>
          <w:rFonts w:ascii="Baskerville Old Face" w:hAnsi="Baskerville Old Face"/>
          <w:szCs w:val="24"/>
          <w:lang w:val="es-MX"/>
        </w:rPr>
        <w:t>p</w:t>
      </w:r>
      <w:r w:rsidRPr="00D03E21">
        <w:rPr>
          <w:rFonts w:ascii="Baskerville Old Face" w:hAnsi="Baskerville Old Face"/>
          <w:szCs w:val="24"/>
          <w:lang w:val="es-MX"/>
        </w:rPr>
        <w:t xml:space="preserve">rograma de volúmenes de la obra </w:t>
      </w:r>
      <w:r w:rsidR="000B276A">
        <w:rPr>
          <w:rFonts w:ascii="Baskerville Old Face" w:hAnsi="Baskerville Old Face"/>
          <w:szCs w:val="24"/>
          <w:lang w:val="es-MX"/>
        </w:rPr>
        <w:t>a</w:t>
      </w:r>
      <w:r w:rsidRPr="00D03E21">
        <w:rPr>
          <w:rFonts w:ascii="Baskerville Old Face" w:hAnsi="Baskerville Old Face"/>
          <w:szCs w:val="24"/>
          <w:lang w:val="es-MX"/>
        </w:rPr>
        <w:t xml:space="preserve"> </w:t>
      </w:r>
      <w:r w:rsidR="000B276A">
        <w:rPr>
          <w:rFonts w:ascii="Baskerville Old Face" w:hAnsi="Baskerville Old Face"/>
          <w:szCs w:val="24"/>
          <w:lang w:val="es-MX"/>
        </w:rPr>
        <w:t>construir</w:t>
      </w:r>
      <w:r w:rsidRPr="00D03E21">
        <w:rPr>
          <w:rFonts w:ascii="Baskerville Old Face" w:hAnsi="Baskerville Old Face"/>
          <w:szCs w:val="24"/>
          <w:lang w:val="es-MX"/>
        </w:rPr>
        <w:t xml:space="preserve"> objeto de los servicios de supervisión, y cuantificación en campo, verificando y obteniendo los volúmenes reales de cada concepto.</w:t>
      </w:r>
    </w:p>
    <w:p w:rsidR="001630C0" w:rsidRPr="00D03E21" w:rsidRDefault="001630C0" w:rsidP="001630C0">
      <w:pPr>
        <w:jc w:val="both"/>
        <w:rPr>
          <w:rFonts w:ascii="Baskerville Old Face" w:hAnsi="Baskerville Old Face"/>
          <w:szCs w:val="24"/>
          <w:lang w:val="es-MX"/>
        </w:rPr>
      </w:pPr>
    </w:p>
    <w:p w:rsidR="001630C0" w:rsidRPr="00C00303" w:rsidRDefault="001630C0" w:rsidP="00C00303">
      <w:pPr>
        <w:numPr>
          <w:ilvl w:val="0"/>
          <w:numId w:val="1"/>
        </w:numPr>
        <w:jc w:val="both"/>
        <w:rPr>
          <w:rFonts w:ascii="Baskerville Old Face" w:hAnsi="Baskerville Old Face"/>
          <w:b/>
          <w:szCs w:val="24"/>
          <w:lang w:val="es-MX"/>
        </w:rPr>
      </w:pPr>
      <w:r w:rsidRPr="00D03E21">
        <w:rPr>
          <w:rFonts w:ascii="Baskerville Old Face" w:hAnsi="Baskerville Old Face"/>
          <w:b/>
          <w:szCs w:val="24"/>
          <w:lang w:val="es-MX"/>
        </w:rPr>
        <w:t xml:space="preserve">Revisión de Programas de utilización de maquinaria y equipo de construcción, de utilización de personal y de suministro de materiales. </w:t>
      </w:r>
    </w:p>
    <w:p w:rsidR="001630C0" w:rsidRPr="00D03E21" w:rsidRDefault="001630C0" w:rsidP="001630C0">
      <w:pPr>
        <w:jc w:val="both"/>
        <w:rPr>
          <w:rFonts w:ascii="Baskerville Old Face" w:hAnsi="Baskerville Old Face"/>
          <w:b/>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b/>
          <w:szCs w:val="24"/>
          <w:lang w:val="es-MX"/>
        </w:rPr>
        <w:t>Revisión detallada a las especificaciones particulares y complementarias</w:t>
      </w:r>
      <w:r w:rsidRPr="00D03E21">
        <w:rPr>
          <w:rFonts w:ascii="Baskerville Old Face" w:hAnsi="Baskerville Old Face"/>
          <w:szCs w:val="24"/>
          <w:lang w:val="es-MX"/>
        </w:rPr>
        <w:t>. (sus alcances y limitaciones)</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b/>
          <w:szCs w:val="24"/>
          <w:lang w:val="es-MX"/>
        </w:rPr>
        <w:t>Revisión detallada del procedimiento constructivo propuesto por el licitante</w:t>
      </w:r>
      <w:r w:rsidRPr="00D03E21">
        <w:rPr>
          <w:rFonts w:ascii="Baskerville Old Face" w:hAnsi="Baskerville Old Face"/>
          <w:szCs w:val="24"/>
          <w:lang w:val="es-MX"/>
        </w:rPr>
        <w:t>.</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b/>
          <w:szCs w:val="24"/>
          <w:lang w:val="es-MX"/>
        </w:rPr>
        <w:t>Comparación técnica y objetiva de los recursos humanos, materiales y equipos propuestos por la constructora</w:t>
      </w:r>
      <w:r w:rsidRPr="00D03E21">
        <w:rPr>
          <w:rFonts w:ascii="Baskerville Old Face" w:hAnsi="Baskerville Old Face"/>
          <w:szCs w:val="24"/>
          <w:lang w:val="es-MX"/>
        </w:rPr>
        <w:t xml:space="preserve"> contra los requeridos</w:t>
      </w:r>
      <w:r w:rsidR="000B276A">
        <w:rPr>
          <w:rFonts w:ascii="Baskerville Old Face" w:hAnsi="Baskerville Old Face"/>
          <w:szCs w:val="24"/>
          <w:lang w:val="es-MX"/>
        </w:rPr>
        <w:t>,</w:t>
      </w:r>
      <w:r w:rsidRPr="00D03E21">
        <w:rPr>
          <w:rFonts w:ascii="Baskerville Old Face" w:hAnsi="Baskerville Old Face"/>
          <w:szCs w:val="24"/>
          <w:lang w:val="es-MX"/>
        </w:rPr>
        <w:t xml:space="preserve"> de acuerdo a los volúmenes de obra por ejecutar y programas </w:t>
      </w:r>
      <w:r w:rsidR="000B276A">
        <w:rPr>
          <w:rFonts w:ascii="Baskerville Old Face" w:hAnsi="Baskerville Old Face"/>
          <w:szCs w:val="24"/>
          <w:lang w:val="es-MX"/>
        </w:rPr>
        <w:t>correspondientes</w:t>
      </w:r>
      <w:r w:rsidRPr="00D03E21">
        <w:rPr>
          <w:rFonts w:ascii="Baskerville Old Face" w:hAnsi="Baskerville Old Face"/>
          <w:szCs w:val="24"/>
          <w:lang w:val="es-MX"/>
        </w:rPr>
        <w:t xml:space="preserve"> y así determinar la factibilidad de su cumplimiento.</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b/>
          <w:bCs/>
          <w:szCs w:val="24"/>
          <w:lang w:val="es-MX"/>
        </w:rPr>
      </w:pPr>
      <w:r w:rsidRPr="00D03E21">
        <w:rPr>
          <w:rFonts w:ascii="Baskerville Old Face" w:hAnsi="Baskerville Old Face"/>
          <w:b/>
          <w:bCs/>
          <w:szCs w:val="24"/>
          <w:lang w:val="es-MX"/>
        </w:rPr>
        <w:t>Revisión de los bancos de tiro propuestos por el Contratista</w:t>
      </w:r>
    </w:p>
    <w:p w:rsidR="001630C0" w:rsidRPr="00D03E21" w:rsidRDefault="001630C0" w:rsidP="001630C0">
      <w:pPr>
        <w:jc w:val="both"/>
        <w:rPr>
          <w:rFonts w:ascii="Baskerville Old Face" w:hAnsi="Baskerville Old Face"/>
          <w:b/>
          <w:bCs/>
          <w:szCs w:val="24"/>
          <w:lang w:val="es-MX"/>
        </w:rPr>
      </w:pPr>
    </w:p>
    <w:p w:rsidR="001630C0" w:rsidRPr="00D03E21" w:rsidRDefault="001630C0" w:rsidP="001630C0">
      <w:pPr>
        <w:ind w:left="360"/>
        <w:jc w:val="both"/>
        <w:rPr>
          <w:rFonts w:ascii="Baskerville Old Face" w:hAnsi="Baskerville Old Face"/>
          <w:szCs w:val="24"/>
          <w:lang w:val="es-MX"/>
        </w:rPr>
      </w:pPr>
      <w:r w:rsidRPr="00D03E21">
        <w:rPr>
          <w:rFonts w:ascii="Baskerville Old Face" w:hAnsi="Baskerville Old Face"/>
          <w:bCs/>
          <w:szCs w:val="24"/>
          <w:lang w:val="es-MX"/>
        </w:rPr>
        <w:t xml:space="preserve">Verificar que el (los) banco(s) de tiro de desperdicios </w:t>
      </w:r>
      <w:r w:rsidRPr="00D03E21">
        <w:rPr>
          <w:rFonts w:ascii="Baskerville Old Face" w:hAnsi="Baskerville Old Face"/>
          <w:szCs w:val="24"/>
          <w:lang w:val="es-MX"/>
        </w:rPr>
        <w:t>propuesto(s) cuenten con el permiso o licencia necesaria para su utilización.</w:t>
      </w:r>
    </w:p>
    <w:p w:rsidR="001630C0" w:rsidRPr="00D03E21" w:rsidRDefault="001630C0" w:rsidP="001630C0">
      <w:pPr>
        <w:ind w:left="360"/>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b/>
          <w:bCs/>
          <w:szCs w:val="24"/>
          <w:lang w:val="es-MX"/>
        </w:rPr>
      </w:pPr>
      <w:r w:rsidRPr="00D03E21">
        <w:rPr>
          <w:rFonts w:ascii="Baskerville Old Face" w:hAnsi="Baskerville Old Face"/>
          <w:b/>
          <w:bCs/>
          <w:szCs w:val="24"/>
          <w:lang w:val="es-MX"/>
        </w:rPr>
        <w:t>Revisión de los bancos de materiales.</w:t>
      </w:r>
    </w:p>
    <w:p w:rsidR="001630C0" w:rsidRPr="00D03E21" w:rsidRDefault="001630C0" w:rsidP="001630C0">
      <w:pPr>
        <w:spacing w:line="276" w:lineRule="auto"/>
        <w:jc w:val="both"/>
        <w:rPr>
          <w:rFonts w:ascii="Baskerville Old Face" w:hAnsi="Baskerville Old Face" w:cs="Arial"/>
          <w:szCs w:val="24"/>
          <w:lang w:val="es-MX"/>
        </w:rPr>
      </w:pPr>
    </w:p>
    <w:p w:rsidR="001630C0" w:rsidRDefault="001630C0" w:rsidP="001630C0">
      <w:pPr>
        <w:ind w:left="360"/>
        <w:jc w:val="both"/>
        <w:rPr>
          <w:rFonts w:ascii="Baskerville Old Face" w:hAnsi="Baskerville Old Face"/>
          <w:bCs/>
          <w:szCs w:val="24"/>
          <w:lang w:val="es-MX"/>
        </w:rPr>
      </w:pPr>
      <w:r w:rsidRPr="00D03E21">
        <w:rPr>
          <w:rFonts w:ascii="Baskerville Old Face" w:hAnsi="Baskerville Old Face"/>
          <w:bCs/>
          <w:szCs w:val="24"/>
          <w:lang w:val="es-MX"/>
        </w:rPr>
        <w:t>Verificar la ubicación de los bancos propuestos, los caminos de acceso y rutas para acarreos, capacidad,</w:t>
      </w:r>
      <w:r w:rsidR="000B276A">
        <w:rPr>
          <w:rFonts w:ascii="Baskerville Old Face" w:hAnsi="Baskerville Old Face"/>
          <w:bCs/>
          <w:szCs w:val="24"/>
          <w:lang w:val="es-MX"/>
        </w:rPr>
        <w:t xml:space="preserve"> disponibilidad y</w:t>
      </w:r>
      <w:r w:rsidRPr="00D03E21">
        <w:rPr>
          <w:rFonts w:ascii="Baskerville Old Face" w:hAnsi="Baskerville Old Face"/>
          <w:bCs/>
          <w:szCs w:val="24"/>
          <w:lang w:val="es-MX"/>
        </w:rPr>
        <w:t xml:space="preserve"> obtención de muestras físicas representativas, con objeto de someterlas a las pruebas correspondientes y dictaminar la factibilidad técnica de su utilización.</w:t>
      </w:r>
    </w:p>
    <w:p w:rsidR="000B276A" w:rsidRDefault="000B276A" w:rsidP="001630C0">
      <w:pPr>
        <w:ind w:left="360"/>
        <w:jc w:val="both"/>
        <w:rPr>
          <w:rFonts w:ascii="Baskerville Old Face" w:hAnsi="Baskerville Old Face"/>
          <w:bCs/>
          <w:szCs w:val="24"/>
          <w:lang w:val="es-MX"/>
        </w:rPr>
      </w:pPr>
    </w:p>
    <w:p w:rsidR="000B276A" w:rsidRPr="00D03E21" w:rsidRDefault="000B276A" w:rsidP="001630C0">
      <w:pPr>
        <w:ind w:left="360"/>
        <w:jc w:val="both"/>
        <w:rPr>
          <w:rFonts w:ascii="Baskerville Old Face" w:hAnsi="Baskerville Old Face"/>
          <w:bCs/>
          <w:szCs w:val="24"/>
          <w:lang w:val="es-MX"/>
        </w:rPr>
      </w:pPr>
    </w:p>
    <w:p w:rsidR="001630C0" w:rsidRPr="00D03E21" w:rsidRDefault="001630C0" w:rsidP="001630C0">
      <w:pPr>
        <w:ind w:left="360"/>
        <w:jc w:val="both"/>
        <w:rPr>
          <w:rFonts w:ascii="Baskerville Old Face" w:hAnsi="Baskerville Old Face"/>
          <w:szCs w:val="24"/>
          <w:lang w:val="es-MX"/>
        </w:rPr>
      </w:pPr>
    </w:p>
    <w:p w:rsidR="001630C0" w:rsidRPr="00D03E21" w:rsidRDefault="001630C0" w:rsidP="001630C0">
      <w:pPr>
        <w:jc w:val="both"/>
        <w:rPr>
          <w:rFonts w:ascii="Baskerville Old Face" w:hAnsi="Baskerville Old Face"/>
          <w:b/>
          <w:szCs w:val="24"/>
          <w:lang w:val="es-MX"/>
        </w:rPr>
      </w:pPr>
      <w:r w:rsidRPr="00D03E21">
        <w:rPr>
          <w:rFonts w:ascii="Baskerville Old Face" w:hAnsi="Baskerville Old Face"/>
          <w:b/>
          <w:szCs w:val="24"/>
          <w:lang w:val="es-MX"/>
        </w:rPr>
        <w:t>De la maquinaria y equipo de construcción propuestos por el Contratista de Obra</w:t>
      </w:r>
    </w:p>
    <w:p w:rsidR="001630C0" w:rsidRPr="00D03E21" w:rsidRDefault="001630C0" w:rsidP="001630C0">
      <w:pPr>
        <w:jc w:val="both"/>
        <w:rPr>
          <w:rFonts w:ascii="Baskerville Old Face" w:hAnsi="Baskerville Old Face"/>
          <w:b/>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szCs w:val="24"/>
        </w:rPr>
        <w:t>Revisar y verificar que la maquinaria y equipo de construcción puestos en Obra, sean los mismos que el contratista presentó dentro de su propuesta, ratificar el modelo, capacidad, así como los rendimientos considerados por el contratista dentro de</w:t>
      </w:r>
      <w:r w:rsidR="000B276A">
        <w:rPr>
          <w:rFonts w:ascii="Baskerville Old Face" w:hAnsi="Baskerville Old Face"/>
          <w:szCs w:val="24"/>
        </w:rPr>
        <w:t xml:space="preserve"> </w:t>
      </w:r>
      <w:r w:rsidRPr="00D03E21">
        <w:rPr>
          <w:rFonts w:ascii="Baskerville Old Face" w:hAnsi="Baskerville Old Face"/>
          <w:szCs w:val="24"/>
        </w:rPr>
        <w:t>l</w:t>
      </w:r>
      <w:r w:rsidR="000B276A">
        <w:rPr>
          <w:rFonts w:ascii="Baskerville Old Face" w:hAnsi="Baskerville Old Face"/>
          <w:szCs w:val="24"/>
        </w:rPr>
        <w:t>os</w:t>
      </w:r>
      <w:r w:rsidRPr="00D03E21">
        <w:rPr>
          <w:rFonts w:ascii="Baskerville Old Face" w:hAnsi="Baskerville Old Face"/>
          <w:szCs w:val="24"/>
        </w:rPr>
        <w:t xml:space="preserve"> análisis de precios unitarios presentado</w:t>
      </w:r>
      <w:r w:rsidR="000B276A">
        <w:rPr>
          <w:rFonts w:ascii="Baskerville Old Face" w:hAnsi="Baskerville Old Face"/>
          <w:szCs w:val="24"/>
        </w:rPr>
        <w:t>s</w:t>
      </w:r>
      <w:r w:rsidRPr="00D03E21">
        <w:rPr>
          <w:rFonts w:ascii="Baskerville Old Face" w:hAnsi="Baskerville Old Face"/>
          <w:szCs w:val="24"/>
        </w:rPr>
        <w:t xml:space="preserve"> en su propuesta. En caso </w:t>
      </w:r>
      <w:r w:rsidR="000B276A">
        <w:rPr>
          <w:rFonts w:ascii="Baskerville Old Face" w:hAnsi="Baskerville Old Face"/>
          <w:szCs w:val="24"/>
        </w:rPr>
        <w:t xml:space="preserve">de </w:t>
      </w:r>
      <w:r w:rsidRPr="00D03E21">
        <w:rPr>
          <w:rFonts w:ascii="Baskerville Old Face" w:hAnsi="Baskerville Old Face"/>
          <w:szCs w:val="24"/>
        </w:rPr>
        <w:t xml:space="preserve">que la maquinaria no coincida, verificar si el licitante cuenta con el equipo equivalente. </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szCs w:val="24"/>
        </w:rPr>
        <w:t xml:space="preserve">Realizar una revisión física del equipo que el Contratista haya manifestado en su propuesta técnica para comprobar su estado físico y disponibilidad. </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szCs w:val="24"/>
        </w:rPr>
      </w:pPr>
      <w:r w:rsidRPr="00D03E21">
        <w:rPr>
          <w:rFonts w:ascii="Baskerville Old Face" w:hAnsi="Baskerville Old Face"/>
          <w:szCs w:val="24"/>
        </w:rPr>
        <w:t>Verificar las copias simples de las facturas originales de la maquinaria y equipo propio que el Contratista haya manifestado dentro de su propuesta, mediante las cuales acrediten la propiedad del equipo que pretende y propone emplear.</w:t>
      </w:r>
    </w:p>
    <w:p w:rsidR="001630C0" w:rsidRPr="00D03E21" w:rsidRDefault="001630C0" w:rsidP="001630C0">
      <w:pPr>
        <w:jc w:val="both"/>
        <w:rPr>
          <w:rFonts w:ascii="Baskerville Old Face" w:hAnsi="Baskerville Old Face"/>
          <w:szCs w:val="24"/>
        </w:rPr>
      </w:pPr>
    </w:p>
    <w:p w:rsidR="001630C0" w:rsidRPr="00D03E21" w:rsidRDefault="001630C0" w:rsidP="001630C0">
      <w:pPr>
        <w:numPr>
          <w:ilvl w:val="0"/>
          <w:numId w:val="1"/>
        </w:numPr>
        <w:jc w:val="both"/>
        <w:rPr>
          <w:rFonts w:ascii="Baskerville Old Face" w:hAnsi="Baskerville Old Face"/>
          <w:szCs w:val="24"/>
          <w:lang w:val="es-MX"/>
        </w:rPr>
      </w:pPr>
      <w:r w:rsidRPr="00D03E21">
        <w:rPr>
          <w:rFonts w:ascii="Baskerville Old Face" w:hAnsi="Baskerville Old Face"/>
          <w:szCs w:val="24"/>
        </w:rPr>
        <w:t>En caso de maquinaria y equipo arrendado y por arrendar, deberá verificar la autenticidad de  la carta compromiso de arrendamiento del propietario con la empresa contratista</w:t>
      </w:r>
    </w:p>
    <w:p w:rsidR="001630C0" w:rsidRPr="00D03E21" w:rsidRDefault="001630C0" w:rsidP="001630C0">
      <w:pPr>
        <w:jc w:val="both"/>
        <w:rPr>
          <w:rFonts w:ascii="Baskerville Old Face" w:hAnsi="Baskerville Old Face"/>
          <w:szCs w:val="24"/>
          <w:lang w:val="es-MX"/>
        </w:rPr>
      </w:pPr>
    </w:p>
    <w:p w:rsidR="001630C0" w:rsidRPr="00D03E21" w:rsidRDefault="001630C0" w:rsidP="001630C0">
      <w:pPr>
        <w:numPr>
          <w:ilvl w:val="0"/>
          <w:numId w:val="1"/>
        </w:numPr>
        <w:jc w:val="both"/>
        <w:rPr>
          <w:rFonts w:ascii="Baskerville Old Face" w:hAnsi="Baskerville Old Face"/>
          <w:b/>
          <w:szCs w:val="24"/>
        </w:rPr>
      </w:pPr>
      <w:r w:rsidRPr="00D03E21">
        <w:rPr>
          <w:rFonts w:ascii="Baskerville Old Face" w:hAnsi="Baskerville Old Face"/>
          <w:b/>
          <w:szCs w:val="24"/>
        </w:rPr>
        <w:t xml:space="preserve">Y en general todo lo que </w:t>
      </w:r>
      <w:r w:rsidR="004C79C2">
        <w:rPr>
          <w:rFonts w:ascii="Baskerville Old Face" w:hAnsi="Baskerville Old Face"/>
          <w:b/>
          <w:szCs w:val="24"/>
        </w:rPr>
        <w:t>la residencia de obras</w:t>
      </w:r>
      <w:r>
        <w:rPr>
          <w:rFonts w:ascii="Baskerville Old Face" w:hAnsi="Baskerville Old Face"/>
          <w:b/>
          <w:szCs w:val="24"/>
        </w:rPr>
        <w:t xml:space="preserve"> </w:t>
      </w:r>
      <w:r w:rsidRPr="00D03E21">
        <w:rPr>
          <w:rFonts w:ascii="Baskerville Old Face" w:hAnsi="Baskerville Old Face"/>
          <w:b/>
          <w:szCs w:val="24"/>
        </w:rPr>
        <w:t>considere necesario para la correcta ejecución de los trabajos.</w:t>
      </w:r>
    </w:p>
    <w:p w:rsidR="001630C0" w:rsidRDefault="001630C0"/>
    <w:sectPr w:rsidR="001630C0" w:rsidSect="00292C7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01" w:rsidRDefault="00742601" w:rsidP="001630C0">
      <w:r>
        <w:separator/>
      </w:r>
    </w:p>
  </w:endnote>
  <w:endnote w:type="continuationSeparator" w:id="0">
    <w:p w:rsidR="00742601" w:rsidRDefault="00742601" w:rsidP="001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01" w:rsidRPr="00FF2B3C" w:rsidRDefault="00742601" w:rsidP="001630C0">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008305F5"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008305F5" w:rsidRPr="009D1D75">
      <w:rPr>
        <w:rFonts w:ascii="Verdana" w:hAnsi="Verdana" w:cs="Arial"/>
        <w:sz w:val="18"/>
        <w:szCs w:val="18"/>
      </w:rPr>
      <w:fldChar w:fldCharType="separate"/>
    </w:r>
    <w:r w:rsidR="00DF208D">
      <w:rPr>
        <w:rFonts w:ascii="Verdana" w:hAnsi="Verdana" w:cs="Arial"/>
        <w:noProof/>
        <w:sz w:val="18"/>
        <w:szCs w:val="18"/>
      </w:rPr>
      <w:t>3</w:t>
    </w:r>
    <w:r w:rsidR="008305F5" w:rsidRPr="009D1D75">
      <w:rPr>
        <w:rFonts w:ascii="Verdana" w:hAnsi="Verdana" w:cs="Arial"/>
        <w:sz w:val="18"/>
        <w:szCs w:val="18"/>
      </w:rPr>
      <w:fldChar w:fldCharType="end"/>
    </w:r>
    <w:r w:rsidRPr="009D1D75">
      <w:rPr>
        <w:rFonts w:ascii="Verdana" w:hAnsi="Verdana" w:cs="Arial"/>
        <w:sz w:val="18"/>
        <w:szCs w:val="18"/>
      </w:rPr>
      <w:t xml:space="preserve"> de </w:t>
    </w:r>
    <w:r w:rsidR="008305F5"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008305F5" w:rsidRPr="009D1D75">
      <w:rPr>
        <w:rFonts w:ascii="Verdana" w:hAnsi="Verdana" w:cs="Arial"/>
        <w:sz w:val="18"/>
        <w:szCs w:val="18"/>
      </w:rPr>
      <w:fldChar w:fldCharType="separate"/>
    </w:r>
    <w:r w:rsidR="00DF208D">
      <w:rPr>
        <w:rFonts w:ascii="Verdana" w:hAnsi="Verdana" w:cs="Arial"/>
        <w:noProof/>
        <w:sz w:val="18"/>
        <w:szCs w:val="18"/>
      </w:rPr>
      <w:t>3</w:t>
    </w:r>
    <w:r w:rsidR="008305F5" w:rsidRPr="009D1D75">
      <w:rPr>
        <w:rFonts w:ascii="Verdana" w:hAnsi="Verdana" w:cs="Arial"/>
        <w:sz w:val="18"/>
        <w:szCs w:val="18"/>
      </w:rPr>
      <w:fldChar w:fldCharType="end"/>
    </w:r>
  </w:p>
  <w:p w:rsidR="00742601" w:rsidRPr="00186954" w:rsidRDefault="00742601" w:rsidP="001630C0">
    <w:pPr>
      <w:widowControl w:val="0"/>
      <w:autoSpaceDE w:val="0"/>
      <w:autoSpaceDN w:val="0"/>
      <w:adjustRightInd w:val="0"/>
      <w:jc w:val="center"/>
      <w:rPr>
        <w:rFonts w:ascii="Baskerville Old Face" w:hAnsi="Baskerville Old Face"/>
        <w:color w:val="808080"/>
        <w:sz w:val="16"/>
      </w:rPr>
    </w:pPr>
    <w:r w:rsidRPr="00186954">
      <w:rPr>
        <w:rFonts w:ascii="Baskerville Old Face" w:hAnsi="Baskerville Old Face"/>
        <w:color w:val="808080"/>
        <w:sz w:val="16"/>
      </w:rPr>
      <w:t>Javier Barros Sierra No. 515, Col. Lomas de Santa Fe, Del. Álvaro Obregón, CP. 01219, México, D.F.</w:t>
    </w:r>
  </w:p>
  <w:p w:rsidR="00742601" w:rsidRPr="001630C0" w:rsidRDefault="00742601" w:rsidP="001630C0">
    <w:pPr>
      <w:widowControl w:val="0"/>
      <w:autoSpaceDE w:val="0"/>
      <w:autoSpaceDN w:val="0"/>
      <w:adjustRightInd w:val="0"/>
      <w:jc w:val="center"/>
      <w:rPr>
        <w:rFonts w:ascii="Baskerville Old Face" w:hAnsi="Baskerville Old Face"/>
        <w:color w:val="7F7F7F"/>
        <w:sz w:val="16"/>
      </w:rPr>
    </w:pPr>
    <w:r w:rsidRPr="00186954">
      <w:rPr>
        <w:rFonts w:ascii="Baskerville Old Face" w:hAnsi="Baskerville Old Face"/>
        <w:color w:val="808080"/>
        <w:sz w:val="16"/>
      </w:rPr>
      <w:t xml:space="preserve">Tel.: (55) 52 70 12 </w:t>
    </w:r>
    <w:proofErr w:type="gramStart"/>
    <w:r w:rsidRPr="00186954">
      <w:rPr>
        <w:rFonts w:ascii="Baskerville Old Face" w:hAnsi="Baskerville Old Face"/>
        <w:color w:val="808080"/>
        <w:sz w:val="16"/>
      </w:rPr>
      <w:t>00  www.banobras.gob.mx</w:t>
    </w:r>
    <w:proofErr w:type="gramEnd"/>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01" w:rsidRDefault="00742601" w:rsidP="001630C0">
      <w:r>
        <w:separator/>
      </w:r>
    </w:p>
  </w:footnote>
  <w:footnote w:type="continuationSeparator" w:id="0">
    <w:p w:rsidR="00742601" w:rsidRDefault="00742601" w:rsidP="001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01" w:rsidRPr="001630C0" w:rsidRDefault="00C22515" w:rsidP="001630C0">
    <w:r>
      <w:rPr>
        <w:i/>
        <w:noProof/>
        <w:lang w:val="es-MX" w:eastAsia="es-MX"/>
      </w:rPr>
      <w:drawing>
        <wp:anchor distT="0" distB="0" distL="114300" distR="114300" simplePos="0" relativeHeight="251658240" behindDoc="1" locked="0" layoutInCell="1" allowOverlap="1">
          <wp:simplePos x="0" y="0"/>
          <wp:positionH relativeFrom="column">
            <wp:posOffset>3937990</wp:posOffset>
          </wp:positionH>
          <wp:positionV relativeFrom="paragraph">
            <wp:posOffset>208127</wp:posOffset>
          </wp:positionV>
          <wp:extent cx="1678305" cy="518795"/>
          <wp:effectExtent l="0" t="0" r="0" b="0"/>
          <wp:wrapTight wrapText="bothSides">
            <wp:wrapPolygon edited="0">
              <wp:start x="0" y="0"/>
              <wp:lineTo x="0" y="20622"/>
              <wp:lineTo x="21330" y="20622"/>
              <wp:lineTo x="2133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9927" t="34300" r="9915" b="32211"/>
                  <a:stretch>
                    <a:fillRect/>
                  </a:stretch>
                </pic:blipFill>
                <pic:spPr bwMode="auto">
                  <a:xfrm>
                    <a:off x="0" y="0"/>
                    <a:ext cx="16783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601">
      <w:rPr>
        <w:i/>
        <w:noProof/>
        <w:lang w:val="es-MX" w:eastAsia="es-MX"/>
      </w:rPr>
      <w:drawing>
        <wp:inline distT="0" distB="0" distL="0" distR="0" wp14:anchorId="4E6CEDC3" wp14:editId="43EA27A2">
          <wp:extent cx="2337435" cy="835025"/>
          <wp:effectExtent l="0" t="0" r="571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435" cy="835025"/>
                  </a:xfrm>
                  <a:prstGeom prst="rect">
                    <a:avLst/>
                  </a:prstGeom>
                  <a:noFill/>
                  <a:ln>
                    <a:noFill/>
                  </a:ln>
                </pic:spPr>
              </pic:pic>
            </a:graphicData>
          </a:graphic>
        </wp:inline>
      </w:drawing>
    </w:r>
    <w:r w:rsidR="00742601" w:rsidRPr="001630C0">
      <w:rPr>
        <w:i/>
        <w:noProof/>
        <w:lang w:eastAsia="es-MX"/>
      </w:rPr>
      <w:t xml:space="preserve">     </w:t>
    </w:r>
    <w:r w:rsidR="00742601">
      <w:rPr>
        <w:i/>
        <w:noProof/>
        <w:lang w:eastAsia="es-MX"/>
      </w:rPr>
      <w:t xml:space="preserve">                                                                                       </w:t>
    </w:r>
    <w:r w:rsidR="00742601" w:rsidRPr="001630C0">
      <w:rPr>
        <w:i/>
        <w:noProof/>
        <w:lang w:eastAsia="es-MX"/>
      </w:rPr>
      <w:t xml:space="preserve">                                          </w:t>
    </w:r>
  </w:p>
  <w:p w:rsidR="00742601" w:rsidRPr="001630C0" w:rsidRDefault="00742601"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dirección fiduciaria</w:t>
    </w:r>
  </w:p>
  <w:p w:rsidR="00742601" w:rsidRPr="001630C0" w:rsidRDefault="00742601"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subdirección de operación técnica y seguimiento</w:t>
    </w:r>
  </w:p>
  <w:p w:rsidR="00742601" w:rsidRPr="001630C0" w:rsidRDefault="00742601"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 xml:space="preserve">gerencia de </w:t>
    </w:r>
    <w:r w:rsidR="00C22515">
      <w:rPr>
        <w:rFonts w:ascii="Baskerville Old Face" w:hAnsi="Baskerville Old Face"/>
        <w:smallCaps/>
        <w:color w:val="C0C0C0"/>
        <w:w w:val="150"/>
        <w:sz w:val="18"/>
        <w:szCs w:val="18"/>
      </w:rPr>
      <w:t>obras</w:t>
    </w:r>
  </w:p>
  <w:p w:rsidR="00742601" w:rsidRPr="001630C0" w:rsidRDefault="00742601" w:rsidP="001630C0">
    <w:pPr>
      <w:tabs>
        <w:tab w:val="center" w:pos="4419"/>
        <w:tab w:val="right" w:pos="10490"/>
      </w:tabs>
      <w:ind w:left="-426" w:right="-478"/>
      <w:jc w:val="both"/>
      <w:rPr>
        <w:rFonts w:ascii="Arial Narrow" w:hAnsi="Arial Narrow"/>
        <w:b/>
        <w:smallCaps/>
        <w:color w:val="C0C0C0"/>
        <w:w w:val="150"/>
        <w:sz w:val="18"/>
        <w:szCs w:val="18"/>
      </w:rPr>
    </w:pPr>
    <w:r w:rsidRPr="001630C0">
      <w:rPr>
        <w:rFonts w:ascii="Arial Narrow" w:hAnsi="Arial Narrow"/>
        <w:b/>
        <w:smallCaps/>
        <w:color w:val="C0C0C0"/>
        <w:w w:val="150"/>
        <w:sz w:val="18"/>
        <w:szCs w:val="18"/>
      </w:rPr>
      <w:t xml:space="preserve">                                             </w:t>
    </w:r>
  </w:p>
  <w:p w:rsidR="00742601" w:rsidRPr="00742601" w:rsidRDefault="00742601" w:rsidP="001630C0">
    <w:pPr>
      <w:tabs>
        <w:tab w:val="center" w:pos="4419"/>
        <w:tab w:val="left" w:pos="7887"/>
        <w:tab w:val="right" w:pos="8838"/>
        <w:tab w:val="right" w:pos="9972"/>
      </w:tabs>
      <w:ind w:left="-426"/>
      <w:jc w:val="right"/>
      <w:rPr>
        <w:rFonts w:ascii="Baskerville Old Face" w:hAnsi="Baskerville Old Face"/>
        <w:smallCaps/>
        <w:color w:val="C0C0C0"/>
        <w:w w:val="150"/>
        <w:sz w:val="16"/>
        <w:szCs w:val="16"/>
      </w:rPr>
    </w:pPr>
    <w:r w:rsidRPr="00742601">
      <w:rPr>
        <w:rFonts w:ascii="Baskerville Old Face" w:hAnsi="Baskerville Old Face"/>
        <w:smallCaps/>
        <w:color w:val="C0C0C0"/>
        <w:w w:val="150"/>
        <w:sz w:val="16"/>
        <w:szCs w:val="16"/>
      </w:rPr>
      <w:t>licitación pública nacional no</w:t>
    </w:r>
    <w:r w:rsidRPr="00742601">
      <w:rPr>
        <w:rFonts w:ascii="Baskerville Old Face" w:hAnsi="Baskerville Old Face" w:cs="Arial"/>
        <w:sz w:val="16"/>
        <w:szCs w:val="16"/>
      </w:rPr>
      <w:t xml:space="preserve"> </w:t>
    </w:r>
    <w:r w:rsidR="00174595">
      <w:rPr>
        <w:rFonts w:ascii="Baskerville Old Face" w:hAnsi="Baskerville Old Face"/>
        <w:smallCaps/>
        <w:w w:val="150"/>
        <w:sz w:val="16"/>
        <w:szCs w:val="16"/>
      </w:rPr>
      <w:t>LO-006G1C003-N1</w:t>
    </w:r>
    <w:r w:rsidR="004C6021" w:rsidRPr="004C6021">
      <w:rPr>
        <w:rFonts w:ascii="Baskerville Old Face" w:hAnsi="Baskerville Old Face"/>
        <w:smallCaps/>
        <w:w w:val="150"/>
        <w:sz w:val="16"/>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05EA"/>
    <w:multiLevelType w:val="hybridMultilevel"/>
    <w:tmpl w:val="63B0E2AC"/>
    <w:lvl w:ilvl="0" w:tplc="080A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630C0"/>
    <w:rsid w:val="000B276A"/>
    <w:rsid w:val="001630C0"/>
    <w:rsid w:val="00174595"/>
    <w:rsid w:val="001C4949"/>
    <w:rsid w:val="001D77A3"/>
    <w:rsid w:val="002242CF"/>
    <w:rsid w:val="00292C7E"/>
    <w:rsid w:val="003D6C6E"/>
    <w:rsid w:val="004C6021"/>
    <w:rsid w:val="004C79C2"/>
    <w:rsid w:val="00585DAF"/>
    <w:rsid w:val="0067386A"/>
    <w:rsid w:val="006A2F04"/>
    <w:rsid w:val="006F1ECB"/>
    <w:rsid w:val="007221B2"/>
    <w:rsid w:val="00742601"/>
    <w:rsid w:val="007C33CA"/>
    <w:rsid w:val="008305F5"/>
    <w:rsid w:val="009A60D2"/>
    <w:rsid w:val="00C00303"/>
    <w:rsid w:val="00C12613"/>
    <w:rsid w:val="00C22515"/>
    <w:rsid w:val="00CC0419"/>
    <w:rsid w:val="00DD6D1A"/>
    <w:rsid w:val="00DF208D"/>
    <w:rsid w:val="00F0015C"/>
    <w:rsid w:val="00F44359"/>
    <w:rsid w:val="00F7316D"/>
    <w:rsid w:val="00F94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2FFADE-0021-4BB7-9987-C7DBDAEB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C0"/>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30C0"/>
    <w:pPr>
      <w:jc w:val="both"/>
    </w:pPr>
    <w:rPr>
      <w:lang w:val="es-ES_tradnl"/>
    </w:rPr>
  </w:style>
  <w:style w:type="character" w:customStyle="1" w:styleId="TextoindependienteCar">
    <w:name w:val="Texto independiente Car"/>
    <w:basedOn w:val="Fuentedeprrafopredeter"/>
    <w:link w:val="Textoindependiente"/>
    <w:rsid w:val="001630C0"/>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1630C0"/>
    <w:pPr>
      <w:overflowPunct w:val="0"/>
      <w:autoSpaceDE w:val="0"/>
      <w:autoSpaceDN w:val="0"/>
      <w:adjustRightInd w:val="0"/>
      <w:ind w:left="450"/>
      <w:jc w:val="both"/>
      <w:textAlignment w:val="baseline"/>
    </w:pPr>
    <w:rPr>
      <w:sz w:val="22"/>
      <w:lang w:val="es-ES_tradnl"/>
    </w:rPr>
  </w:style>
  <w:style w:type="paragraph" w:styleId="Encabezado">
    <w:name w:val="header"/>
    <w:basedOn w:val="Normal"/>
    <w:link w:val="EncabezadoCar"/>
    <w:uiPriority w:val="99"/>
    <w:unhideWhenUsed/>
    <w:rsid w:val="001630C0"/>
    <w:pPr>
      <w:tabs>
        <w:tab w:val="center" w:pos="4419"/>
        <w:tab w:val="right" w:pos="8838"/>
      </w:tabs>
    </w:pPr>
  </w:style>
  <w:style w:type="character" w:customStyle="1" w:styleId="EncabezadoCar">
    <w:name w:val="Encabezado Car"/>
    <w:basedOn w:val="Fuentedeprrafopredeter"/>
    <w:link w:val="Encabezado"/>
    <w:uiPriority w:val="99"/>
    <w:rsid w:val="001630C0"/>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1630C0"/>
    <w:pPr>
      <w:tabs>
        <w:tab w:val="center" w:pos="4419"/>
        <w:tab w:val="right" w:pos="8838"/>
      </w:tabs>
    </w:pPr>
  </w:style>
  <w:style w:type="character" w:customStyle="1" w:styleId="PiedepginaCar">
    <w:name w:val="Pie de página Car"/>
    <w:basedOn w:val="Fuentedeprrafopredeter"/>
    <w:link w:val="Piedepgina"/>
    <w:uiPriority w:val="99"/>
    <w:rsid w:val="001630C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163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0C0"/>
    <w:rPr>
      <w:rFonts w:ascii="Tahoma" w:eastAsia="Times New Roman" w:hAnsi="Tahoma" w:cs="Tahoma"/>
      <w:sz w:val="16"/>
      <w:szCs w:val="16"/>
      <w:lang w:val="es-ES" w:eastAsia="es-ES"/>
    </w:rPr>
  </w:style>
  <w:style w:type="paragraph" w:styleId="Prrafodelista">
    <w:name w:val="List Paragraph"/>
    <w:basedOn w:val="Normal"/>
    <w:uiPriority w:val="34"/>
    <w:qFormat/>
    <w:rsid w:val="001630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Diaz Flores, Francisco J</cp:lastModifiedBy>
  <cp:revision>16</cp:revision>
  <cp:lastPrinted>2013-10-02T23:09:00Z</cp:lastPrinted>
  <dcterms:created xsi:type="dcterms:W3CDTF">2013-09-03T15:45:00Z</dcterms:created>
  <dcterms:modified xsi:type="dcterms:W3CDTF">2014-05-22T02:29:00Z</dcterms:modified>
</cp:coreProperties>
</file>