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C7" w:rsidRPr="004F30F8" w:rsidRDefault="000B4BDA" w:rsidP="004F30F8">
      <w:pPr>
        <w:numPr>
          <w:ilvl w:val="12"/>
          <w:numId w:val="0"/>
        </w:numPr>
        <w:suppressAutoHyphens/>
        <w:ind w:left="708"/>
        <w:jc w:val="both"/>
        <w:rPr>
          <w:rFonts w:ascii="Baskerville Old Face" w:eastAsiaTheme="minorHAnsi" w:hAnsi="Baskerville Old Face" w:cs="Arial,Bold"/>
          <w:b/>
          <w:bCs/>
          <w:szCs w:val="24"/>
          <w:lang w:val="es-MX" w:eastAsia="en-US"/>
        </w:rPr>
      </w:pPr>
      <w:r w:rsidRPr="004F30F8">
        <w:rPr>
          <w:rFonts w:ascii="Baskerville Old Face" w:hAnsi="Baskerville Old Face" w:cs="Arial"/>
          <w:b/>
          <w:szCs w:val="24"/>
        </w:rPr>
        <w:t xml:space="preserve">ANEXO </w:t>
      </w:r>
      <w:r w:rsidR="009F41F2" w:rsidRPr="004F30F8">
        <w:rPr>
          <w:rFonts w:ascii="Baskerville Old Face" w:hAnsi="Baskerville Old Face" w:cs="Arial"/>
          <w:b/>
          <w:szCs w:val="24"/>
        </w:rPr>
        <w:t>A.6</w:t>
      </w:r>
      <w:r w:rsidR="009F41F2" w:rsidRPr="004F30F8">
        <w:rPr>
          <w:rFonts w:ascii="Baskerville Old Face" w:hAnsi="Baskerville Old Face" w:cs="Arial"/>
          <w:szCs w:val="24"/>
        </w:rPr>
        <w:t xml:space="preserve"> </w:t>
      </w:r>
      <w:r w:rsidR="009F41F2" w:rsidRPr="009F41F2">
        <w:rPr>
          <w:rFonts w:ascii="Baskerville Old Face" w:hAnsi="Baskerville Old Face" w:cs="Arial"/>
          <w:b/>
          <w:spacing w:val="-3"/>
          <w:szCs w:val="24"/>
        </w:rPr>
        <w:t>Nota</w:t>
      </w:r>
      <w:r w:rsidR="00EE15C7" w:rsidRPr="004F30F8">
        <w:rPr>
          <w:rFonts w:ascii="Baskerville Old Face" w:eastAsiaTheme="minorHAnsi" w:hAnsi="Baskerville Old Face" w:cs="Arial,Bold"/>
          <w:b/>
          <w:bCs/>
          <w:szCs w:val="24"/>
          <w:lang w:val="es-MX" w:eastAsia="en-US"/>
        </w:rPr>
        <w:t xml:space="preserve"> informativa para participantes de</w:t>
      </w:r>
      <w:bookmarkStart w:id="0" w:name="_GoBack"/>
      <w:bookmarkEnd w:id="0"/>
      <w:r w:rsidR="00EE15C7" w:rsidRPr="004F30F8">
        <w:rPr>
          <w:rFonts w:ascii="Baskerville Old Face" w:eastAsiaTheme="minorHAnsi" w:hAnsi="Baskerville Old Face" w:cs="Arial,Bold"/>
          <w:b/>
          <w:bCs/>
          <w:szCs w:val="24"/>
          <w:lang w:val="es-MX" w:eastAsia="en-US"/>
        </w:rPr>
        <w:t xml:space="preserve"> países miembros</w:t>
      </w:r>
      <w:r w:rsidR="00EE15C7" w:rsidRPr="004F30F8">
        <w:rPr>
          <w:rFonts w:ascii="Baskerville Old Face" w:hAnsi="Baskerville Old Face" w:cs="Arial"/>
          <w:spacing w:val="-3"/>
          <w:szCs w:val="24"/>
        </w:rPr>
        <w:t xml:space="preserve"> </w:t>
      </w:r>
      <w:r w:rsidR="00EE15C7" w:rsidRPr="004F30F8">
        <w:rPr>
          <w:rFonts w:ascii="Baskerville Old Face" w:eastAsiaTheme="minorHAnsi" w:hAnsi="Baskerville Old Face" w:cs="Arial,Bold"/>
          <w:b/>
          <w:bCs/>
          <w:szCs w:val="24"/>
          <w:lang w:val="es-MX" w:eastAsia="en-US"/>
        </w:rPr>
        <w:t>de la Organización para la Cooperación y el Desarrollo</w:t>
      </w:r>
      <w:r w:rsidR="00EE15C7" w:rsidRPr="004F30F8">
        <w:rPr>
          <w:rFonts w:ascii="Baskerville Old Face" w:hAnsi="Baskerville Old Face" w:cs="Arial"/>
          <w:spacing w:val="-3"/>
          <w:szCs w:val="24"/>
        </w:rPr>
        <w:t xml:space="preserve"> </w:t>
      </w:r>
      <w:r w:rsidR="00EE15C7" w:rsidRPr="004F30F8">
        <w:rPr>
          <w:rFonts w:ascii="Baskerville Old Face" w:eastAsiaTheme="minorHAnsi" w:hAnsi="Baskerville Old Face" w:cs="Arial,Bold"/>
          <w:b/>
          <w:bCs/>
          <w:szCs w:val="24"/>
          <w:lang w:val="es-MX" w:eastAsia="en-US"/>
        </w:rPr>
        <w:t>Económico. (OCDE)</w:t>
      </w:r>
    </w:p>
    <w:p w:rsidR="00EE15C7" w:rsidRPr="004F30F8" w:rsidRDefault="00EE15C7" w:rsidP="004F30F8">
      <w:pPr>
        <w:numPr>
          <w:ilvl w:val="12"/>
          <w:numId w:val="0"/>
        </w:numPr>
        <w:suppressAutoHyphens/>
        <w:ind w:left="708"/>
        <w:jc w:val="both"/>
        <w:rPr>
          <w:rFonts w:ascii="Baskerville Old Face" w:hAnsi="Baskerville Old Face" w:cs="Arial"/>
          <w:spacing w:val="-3"/>
          <w:szCs w:val="24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El compromiso de México en el combate a la corrupción ha tras</w:t>
      </w:r>
      <w:r w:rsid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cendido nuestras fronteras y el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ámbito de acción del gobierno federal. En el plano internacional y como miembro de la Organización para la Cooperación y el Desarrollo Económico (OCDE) y firmante de la </w:t>
      </w:r>
      <w:r w:rsidRPr="004F30F8">
        <w:rPr>
          <w:rFonts w:ascii="Baskerville Old Face" w:eastAsiaTheme="minorHAnsi" w:hAnsi="Baskerville Old Face" w:cs="Arial,BoldItalic"/>
          <w:b/>
          <w:bCs/>
          <w:i/>
          <w:iCs/>
          <w:szCs w:val="24"/>
          <w:lang w:val="es-MX" w:eastAsia="en-US"/>
        </w:rPr>
        <w:t>Convención para combatir el cohecho de servidores públicos extranjeros en transacciones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 </w:t>
      </w:r>
      <w:r w:rsidRPr="004F30F8">
        <w:rPr>
          <w:rFonts w:ascii="Baskerville Old Face" w:eastAsiaTheme="minorHAnsi" w:hAnsi="Baskerville Old Face" w:cs="Arial,BoldItalic"/>
          <w:b/>
          <w:bCs/>
          <w:i/>
          <w:iCs/>
          <w:szCs w:val="24"/>
          <w:lang w:val="es-MX" w:eastAsia="en-US"/>
        </w:rPr>
        <w:t xml:space="preserve">comerciales internacionales,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hemos adquirido responsabilidades que involucran a los sectores público y privado.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Esta Convención busca establecer medidas para prevenir y penalizar a las personas y a las empresas que prometan o den gratificaciones a funcionarios públicos extranjeros que participan en transacciones comerciales internacionales. Su objetivo es eliminar la competencia desleal y crear igualdad de oportunidades para las empresas que compiten por las contrataciones gubernamentales.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La OCDE ha establecido mecanismos muy claros para que los países firmantes de la Convención cumplan con las recomendaciones emitidas por ésta y en el caso de México, iniciará en </w:t>
      </w:r>
      <w:r w:rsidRPr="004F30F8">
        <w:rPr>
          <w:rFonts w:ascii="Baskerville Old Face" w:eastAsiaTheme="minorHAnsi" w:hAnsi="Baskerville Old Face" w:cs="Arial,Bold"/>
          <w:b/>
          <w:bCs/>
          <w:szCs w:val="24"/>
          <w:lang w:val="es-MX" w:eastAsia="en-US"/>
        </w:rPr>
        <w:t>noviembre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 </w:t>
      </w:r>
      <w:r w:rsidRPr="004F30F8">
        <w:rPr>
          <w:rFonts w:ascii="Baskerville Old Face" w:eastAsiaTheme="minorHAnsi" w:hAnsi="Baskerville Old Face" w:cs="Arial,Bold"/>
          <w:b/>
          <w:bCs/>
          <w:szCs w:val="24"/>
          <w:lang w:val="es-MX" w:eastAsia="en-US"/>
        </w:rPr>
        <w:t xml:space="preserve">de 2003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una segunda fase de </w:t>
      </w:r>
      <w:r w:rsidRPr="004F30F8">
        <w:rPr>
          <w:rFonts w:ascii="Baskerville Old Face" w:eastAsiaTheme="minorHAnsi" w:hAnsi="Baskerville Old Face" w:cs="Arial,Bold"/>
          <w:b/>
          <w:bCs/>
          <w:szCs w:val="24"/>
          <w:lang w:val="es-MX" w:eastAsia="en-US"/>
        </w:rPr>
        <w:t xml:space="preserve">evaluación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–la primera ya fue aprobada- en donde un grupo de expertos verificará entre otros: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SymbolMT"/>
          <w:szCs w:val="24"/>
          <w:lang w:val="es-MX" w:eastAsia="en-US"/>
        </w:rPr>
        <w:t xml:space="preserve">•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La compatibilidad de nuestro marco jurídico con las disposiciones de la Convención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SymbolMT"/>
          <w:szCs w:val="24"/>
          <w:lang w:val="es-MX" w:eastAsia="en-US"/>
        </w:rPr>
        <w:t xml:space="preserve">•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El conocimiento que tengan los sectores público y priva</w:t>
      </w:r>
      <w:r w:rsid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do de las recomendaciones de la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convención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El resultado de esta evaluación </w:t>
      </w:r>
      <w:r w:rsidRPr="004F30F8">
        <w:rPr>
          <w:rFonts w:ascii="Baskerville Old Face" w:eastAsiaTheme="minorHAnsi" w:hAnsi="Baskerville Old Face" w:cs="Arial,Bold"/>
          <w:b/>
          <w:bCs/>
          <w:szCs w:val="24"/>
          <w:lang w:val="es-MX" w:eastAsia="en-US"/>
        </w:rPr>
        <w:t xml:space="preserve">impactará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el grado de inve</w:t>
      </w:r>
      <w:r w:rsid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rsión otorgado a México por las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agencias calificadoras y la atracción de inversión extranjera.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Las </w:t>
      </w:r>
      <w:r w:rsidRPr="004F30F8">
        <w:rPr>
          <w:rFonts w:ascii="Baskerville Old Face" w:eastAsiaTheme="minorHAnsi" w:hAnsi="Baskerville Old Face" w:cs="Arial,Bold"/>
          <w:b/>
          <w:bCs/>
          <w:szCs w:val="24"/>
          <w:lang w:val="es-MX" w:eastAsia="en-US"/>
        </w:rPr>
        <w:t xml:space="preserve">responsabilidades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del </w:t>
      </w:r>
      <w:r w:rsidRPr="004F30F8">
        <w:rPr>
          <w:rFonts w:ascii="Baskerville Old Face" w:eastAsiaTheme="minorHAnsi" w:hAnsi="Baskerville Old Face" w:cs="Arial,Bold"/>
          <w:b/>
          <w:bCs/>
          <w:szCs w:val="24"/>
          <w:lang w:val="es-MX" w:eastAsia="en-US"/>
        </w:rPr>
        <w:t xml:space="preserve">sector público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se centran en: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SymbolMT"/>
          <w:szCs w:val="24"/>
          <w:lang w:val="es-MX" w:eastAsia="en-US"/>
        </w:rPr>
        <w:t xml:space="preserve">•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Profundizar las reformas legales que inició en 1999.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SymbolMT"/>
          <w:szCs w:val="24"/>
          <w:lang w:val="es-MX" w:eastAsia="en-US"/>
        </w:rPr>
        <w:t xml:space="preserve">•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Difundir las recomendaciones de la Convención y las obligaciones de cada uno de los actores comprometidos en su cumplimiento.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SymbolMT"/>
          <w:szCs w:val="24"/>
          <w:lang w:val="es-MX" w:eastAsia="en-US"/>
        </w:rPr>
        <w:t xml:space="preserve">•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Presentar casos de cohecho en proceso y concluidos (incluyendo aquellos relacionados con el lavado de dinero y extradición)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Las </w:t>
      </w:r>
      <w:r w:rsidRPr="004F30F8">
        <w:rPr>
          <w:rFonts w:ascii="Baskerville Old Face" w:eastAsiaTheme="minorHAnsi" w:hAnsi="Baskerville Old Face" w:cs="Arial,Bold"/>
          <w:b/>
          <w:bCs/>
          <w:szCs w:val="24"/>
          <w:lang w:val="es-MX" w:eastAsia="en-US"/>
        </w:rPr>
        <w:t xml:space="preserve">responsabilidades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del sector privado se contemplan: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SymbolMT"/>
          <w:szCs w:val="24"/>
          <w:lang w:val="es-MX" w:eastAsia="en-US"/>
        </w:rPr>
        <w:t xml:space="preserve">• </w:t>
      </w:r>
      <w:r w:rsidRPr="004F30F8">
        <w:rPr>
          <w:rFonts w:ascii="Baskerville Old Face" w:eastAsiaTheme="minorHAnsi" w:hAnsi="Baskerville Old Face" w:cs="Arial,Bold"/>
          <w:b/>
          <w:bCs/>
          <w:szCs w:val="24"/>
          <w:lang w:val="es-MX" w:eastAsia="en-US"/>
        </w:rPr>
        <w:t xml:space="preserve">Las empresas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adoptar esquemas preventivos como el establecimiento de códigos de conducta, de mejores prácticas corporativas (controles internos, monitoreo, información financiera pública, 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>auditorías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 externas) y de mecanismos que prevengan el ofrecimiento y otorgamiento de recursos o bienes a servidores públicos, para obtener beneficios particulares o para la empresa.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SymbolMT"/>
          <w:szCs w:val="24"/>
          <w:lang w:val="es-MX" w:eastAsia="en-US"/>
        </w:rPr>
        <w:t xml:space="preserve">• </w:t>
      </w:r>
      <w:r w:rsidRPr="004F30F8">
        <w:rPr>
          <w:rFonts w:ascii="Baskerville Old Face" w:eastAsiaTheme="minorHAnsi" w:hAnsi="Baskerville Old Face" w:cs="Arial,Bold"/>
          <w:b/>
          <w:bCs/>
          <w:szCs w:val="24"/>
          <w:lang w:val="es-MX" w:eastAsia="en-US"/>
        </w:rPr>
        <w:t xml:space="preserve">Los contadores públicos: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realizan auditorias, no encubrir actividades ilícitas (doble contabilidad y transacciones indebidas, como asientos contables falsificados, informes financieros fraudulentos, transferencias sin autorización, acceso a los activos sin consentimiento de la gerencia); utilizar registros contables precisos; informar a los directivos sobre conductas ilegales.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SymbolMT"/>
          <w:szCs w:val="24"/>
          <w:lang w:val="es-MX" w:eastAsia="en-US"/>
        </w:rPr>
        <w:t xml:space="preserve">• </w:t>
      </w:r>
      <w:r w:rsidRPr="004F30F8">
        <w:rPr>
          <w:rFonts w:ascii="Baskerville Old Face" w:eastAsiaTheme="minorHAnsi" w:hAnsi="Baskerville Old Face" w:cs="Arial,Bold"/>
          <w:b/>
          <w:bCs/>
          <w:szCs w:val="24"/>
          <w:lang w:val="es-MX" w:eastAsia="en-US"/>
        </w:rPr>
        <w:t xml:space="preserve">Los abogados: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promover el cumplimiento y revisión de la convención (imprimir el carácter vinculatorio entre ésta y la legislación nacional); impulsar los esquemas preventivos que deben adoptar las empresas.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Las sanciones impuestas a las personas físicas o morales (privados) y a los servidores públicos que incumplan las recomendaciones de la Convención, implican entre otras, privación de la libertad, extradición, decomiso y/o embargo de dinero o bienes.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Así mismo, es importante reconocer que el pago realizado a servidores públicos extranjeros es perseguido y castigado independientemente de que el funcionario sea acusado o no. Las investigaciones pueden iniciarse por denuncia, pero también por otros medios, como la revisión de la situación patrimonial de los servidores públicos o la identificación de transacciones ilícitas, en el caso de las empresas.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El culpable puede ser perseguido en cualquier país firmante de la Convención, independientemente del lugar donde el acto de cohecho haya sido cometido.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En la medida que éstos lineamientos sean conocidos por las empresas y los servidores públicos del país, estaremos contribuyendo a construir estructuras preventivas que impidan el incumplimiento de las recomendaciones de la convención y por tanto la comisión de actos de corrupción.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Por otra parte, es de señalar que el Código Penal Federal sanciona el cohecho en los siguientes términos:</w:t>
      </w:r>
    </w:p>
    <w:p w:rsidR="00EE15C7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4F30F8" w:rsidRP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“Artículo 222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Cometen el delito de cohecho: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I. El servidor 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>público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 que por sí, o por interpósita persona 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solicite o reciba indebidamente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para sí o para otro, dinero o cualquiera otra dádiva, o a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cepte una promesa, para hacer o dejar de hacer algo justo o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injusto relacionado con sus funciones. Y</w:t>
      </w:r>
    </w:p>
    <w:p w:rsidR="004F30F8" w:rsidRP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II. El que de manera espontánea dé u ofrezca dinero o cualqu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ier otra dádiva a alguna de las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personas que se mencionan en la fracción anterior, para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 que cualquier servidor público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haga u omita un acto justo o injusto relacionado con sus funciones.</w:t>
      </w:r>
    </w:p>
    <w:p w:rsidR="004F30F8" w:rsidRP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Al que comete el delito de cohecho se le impondrán las siguientes sanciones:</w:t>
      </w:r>
    </w:p>
    <w:p w:rsidR="004F30F8" w:rsidRP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Cuando la cantidad o el valor de la dádiva o promesa no exced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a del equivalente de quinientas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veces el salario mínimo diario vigente en el Distrito Federal en el 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momento de cometerse el delito, o no sea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valuable, se impondrán de tres meses a dos años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 de prisión, multa de treinta a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trescientas veces el salario mínimo vigente en el Distrito Federa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l en el momento de cometerse el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delito y destitución e inhabilitación de tres meses a dos años para desempeñar otro emple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o, cargo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o comisión públicos.</w:t>
      </w:r>
    </w:p>
    <w:p w:rsidR="004F30F8" w:rsidRP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Cuando la cantidad o el valor de la dádiva, promesa o prestació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n exceda de quinientas veces el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salario mínimo diario vigente en el Distrito Federal en el mom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ento de cometerse el delito, se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impondrán de dos años a catorce años de prisión, multa de tr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escientas a quinientas veces el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salario mínimo diario vigente en el Distrito Federal en el m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omento de cometerse el delito y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destitución e inhabilitación de dos años a catorce años para 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desempeñar otro empleo, cargo o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comisión públicos.</w:t>
      </w:r>
    </w:p>
    <w:p w:rsidR="004F30F8" w:rsidRP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En ningún caso se devolverá a los responsables del delito 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de cohecho, el dinero o dádivas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entregadas, las mismas se aplicarán a favor del estado.</w:t>
      </w:r>
    </w:p>
    <w:p w:rsidR="004F30F8" w:rsidRP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Cap</w:t>
      </w:r>
      <w:r w:rsidR="00AE1907">
        <w:rPr>
          <w:rFonts w:ascii="Baskerville Old Face" w:eastAsiaTheme="minorHAnsi" w:hAnsi="Baskerville Old Face" w:cs="Arial"/>
          <w:szCs w:val="24"/>
          <w:lang w:val="es-MX" w:eastAsia="en-US"/>
        </w:rPr>
        <w:t>í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tulo XI</w:t>
      </w:r>
    </w:p>
    <w:p w:rsidR="004F30F8" w:rsidRP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Cohecho a servidores públicos extranjeros.</w:t>
      </w: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Artículo 222 bis</w:t>
      </w:r>
    </w:p>
    <w:p w:rsidR="004F30F8" w:rsidRP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Se impondrán las penas previstas en el Artículo anterior al que con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 propósito de obtener o retener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para sí o para otra persona ventajas indebidas en el desarroll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o o conducción de 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lastRenderedPageBreak/>
        <w:t xml:space="preserve">transacciones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comerciales internacionales, ofrezca, prometa o dé, por sí o po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r interpósita persona, dinero o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cualquiera otra dádiva, ya sea en bienes o servicios:</w:t>
      </w:r>
    </w:p>
    <w:p w:rsidR="004F30F8" w:rsidRP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I. A un servidor público extranjero para que gestion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e o se abstenga de gestionar la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tramitación o resolución de asuntos relacionados co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n las funciones inherentes a su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empleo, cargo o comisión:</w:t>
      </w:r>
    </w:p>
    <w:p w:rsidR="004F30F8" w:rsidRP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II. A un servidor público extranjero para llevar a cabo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 la tramitación o resolución de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cualquier asunto que se encuentre fuera del ámbito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 de las funciones inherentes as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empleo, cargo o comisión, o</w:t>
      </w:r>
    </w:p>
    <w:p w:rsidR="004F30F8" w:rsidRP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III. A cualquier persona para que acuda ante un servidor público ext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ranjero y la requiera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o le proponga llevar a cabo la tramitación o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 resolución de cualquier asunto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relacionado con las funciones inherentes al empleo, cargo o comisión de éste último.</w:t>
      </w:r>
    </w:p>
    <w:p w:rsidR="004F30F8" w:rsidRP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EE15C7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Para los efectos de este Artículo se entiende por servidor público extran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jero, toda persona que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ostente u ocupe un cargo público considerado así por la ley respecti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va, en los órganos legislativo, ejecutivo o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judicial de un estado extranjero, incluyendo las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 agencias o empresas autónomas,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independientes o de participación estatal, en cualquier orde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n o nivel de gobierno, así como cualquier organismo u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organización pública internacionales.</w:t>
      </w:r>
    </w:p>
    <w:p w:rsidR="004F30F8" w:rsidRPr="004F30F8" w:rsidRDefault="004F30F8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</w:p>
    <w:p w:rsidR="001630C0" w:rsidRPr="004F30F8" w:rsidRDefault="00EE15C7" w:rsidP="004F30F8">
      <w:pPr>
        <w:autoSpaceDE w:val="0"/>
        <w:autoSpaceDN w:val="0"/>
        <w:adjustRightInd w:val="0"/>
        <w:jc w:val="both"/>
        <w:rPr>
          <w:rFonts w:ascii="Baskerville Old Face" w:eastAsiaTheme="minorHAnsi" w:hAnsi="Baskerville Old Face" w:cs="Arial"/>
          <w:szCs w:val="24"/>
          <w:lang w:val="es-MX" w:eastAsia="en-US"/>
        </w:rPr>
      </w:pP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Cuando alguno de los delitos comprendidos en este Artículo se c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ometa en los supuestos a que se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refiere el Artículo II de éste Código, el juez impondrá a la persona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 moral hasta quinientos días de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multa y podrá decretar su suspensión o disolución, toman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do en consideración el grado de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conocimiento de los órganos de administración respect</w:t>
      </w:r>
      <w:r w:rsidR="004F30F8" w:rsidRPr="004F30F8">
        <w:rPr>
          <w:rFonts w:ascii="Baskerville Old Face" w:eastAsiaTheme="minorHAnsi" w:hAnsi="Baskerville Old Face" w:cs="Arial"/>
          <w:szCs w:val="24"/>
          <w:lang w:val="es-MX" w:eastAsia="en-US"/>
        </w:rPr>
        <w:t xml:space="preserve">o del cohecho en la transacción </w:t>
      </w:r>
      <w:r w:rsidRPr="004F30F8">
        <w:rPr>
          <w:rFonts w:ascii="Baskerville Old Face" w:eastAsiaTheme="minorHAnsi" w:hAnsi="Baskerville Old Face" w:cs="Arial"/>
          <w:szCs w:val="24"/>
          <w:lang w:val="es-MX" w:eastAsia="en-US"/>
        </w:rPr>
        <w:t>internacional y el daño causado o el beneficio obtenido por la persona moral.</w:t>
      </w:r>
    </w:p>
    <w:sectPr w:rsidR="001630C0" w:rsidRPr="004F30F8" w:rsidSect="00496EB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0C" w:rsidRDefault="0021000C" w:rsidP="001630C0">
      <w:r>
        <w:separator/>
      </w:r>
    </w:p>
  </w:endnote>
  <w:endnote w:type="continuationSeparator" w:id="0">
    <w:p w:rsidR="0021000C" w:rsidRDefault="0021000C" w:rsidP="0016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C0" w:rsidRPr="00FF2B3C" w:rsidRDefault="001630C0" w:rsidP="001630C0">
    <w:pPr>
      <w:pStyle w:val="Piedepgina"/>
      <w:ind w:right="82"/>
      <w:jc w:val="right"/>
      <w:rPr>
        <w:rFonts w:ascii="Verdana" w:hAnsi="Verdana" w:cs="Arial"/>
        <w:sz w:val="18"/>
        <w:szCs w:val="18"/>
      </w:rPr>
    </w:pPr>
    <w:r w:rsidRPr="009D1D75">
      <w:rPr>
        <w:rFonts w:ascii="Verdana" w:hAnsi="Verdana" w:cs="Arial"/>
        <w:sz w:val="18"/>
        <w:szCs w:val="18"/>
      </w:rPr>
      <w:t xml:space="preserve">Página </w:t>
    </w:r>
    <w:r w:rsidR="00496EB4" w:rsidRPr="009D1D75">
      <w:rPr>
        <w:rFonts w:ascii="Verdana" w:hAnsi="Verdana" w:cs="Arial"/>
        <w:sz w:val="18"/>
        <w:szCs w:val="18"/>
      </w:rPr>
      <w:fldChar w:fldCharType="begin"/>
    </w:r>
    <w:r w:rsidRPr="009D1D75">
      <w:rPr>
        <w:rFonts w:ascii="Verdana" w:hAnsi="Verdana" w:cs="Arial"/>
        <w:sz w:val="18"/>
        <w:szCs w:val="18"/>
      </w:rPr>
      <w:instrText xml:space="preserve"> PAGE </w:instrText>
    </w:r>
    <w:r w:rsidR="00496EB4" w:rsidRPr="009D1D75">
      <w:rPr>
        <w:rFonts w:ascii="Verdana" w:hAnsi="Verdana" w:cs="Arial"/>
        <w:sz w:val="18"/>
        <w:szCs w:val="18"/>
      </w:rPr>
      <w:fldChar w:fldCharType="separate"/>
    </w:r>
    <w:r w:rsidR="00092BB6">
      <w:rPr>
        <w:rFonts w:ascii="Verdana" w:hAnsi="Verdana" w:cs="Arial"/>
        <w:noProof/>
        <w:sz w:val="18"/>
        <w:szCs w:val="18"/>
      </w:rPr>
      <w:t>1</w:t>
    </w:r>
    <w:r w:rsidR="00496EB4" w:rsidRPr="009D1D75">
      <w:rPr>
        <w:rFonts w:ascii="Verdana" w:hAnsi="Verdana" w:cs="Arial"/>
        <w:sz w:val="18"/>
        <w:szCs w:val="18"/>
      </w:rPr>
      <w:fldChar w:fldCharType="end"/>
    </w:r>
    <w:r w:rsidRPr="009D1D75">
      <w:rPr>
        <w:rFonts w:ascii="Verdana" w:hAnsi="Verdana" w:cs="Arial"/>
        <w:sz w:val="18"/>
        <w:szCs w:val="18"/>
      </w:rPr>
      <w:t xml:space="preserve"> de </w:t>
    </w:r>
    <w:r w:rsidR="00496EB4" w:rsidRPr="009D1D75">
      <w:rPr>
        <w:rFonts w:ascii="Verdana" w:hAnsi="Verdana" w:cs="Arial"/>
        <w:sz w:val="18"/>
        <w:szCs w:val="18"/>
      </w:rPr>
      <w:fldChar w:fldCharType="begin"/>
    </w:r>
    <w:r w:rsidRPr="009D1D75">
      <w:rPr>
        <w:rFonts w:ascii="Verdana" w:hAnsi="Verdana" w:cs="Arial"/>
        <w:sz w:val="18"/>
        <w:szCs w:val="18"/>
      </w:rPr>
      <w:instrText xml:space="preserve"> NUMPAGES </w:instrText>
    </w:r>
    <w:r w:rsidR="00496EB4" w:rsidRPr="009D1D75">
      <w:rPr>
        <w:rFonts w:ascii="Verdana" w:hAnsi="Verdana" w:cs="Arial"/>
        <w:sz w:val="18"/>
        <w:szCs w:val="18"/>
      </w:rPr>
      <w:fldChar w:fldCharType="separate"/>
    </w:r>
    <w:r w:rsidR="00092BB6">
      <w:rPr>
        <w:rFonts w:ascii="Verdana" w:hAnsi="Verdana" w:cs="Arial"/>
        <w:noProof/>
        <w:sz w:val="18"/>
        <w:szCs w:val="18"/>
      </w:rPr>
      <w:t>4</w:t>
    </w:r>
    <w:r w:rsidR="00496EB4" w:rsidRPr="009D1D75">
      <w:rPr>
        <w:rFonts w:ascii="Verdana" w:hAnsi="Verdana" w:cs="Arial"/>
        <w:sz w:val="18"/>
        <w:szCs w:val="18"/>
      </w:rPr>
      <w:fldChar w:fldCharType="end"/>
    </w:r>
  </w:p>
  <w:p w:rsidR="001630C0" w:rsidRPr="00186954" w:rsidRDefault="001630C0" w:rsidP="001630C0">
    <w:pPr>
      <w:widowControl w:val="0"/>
      <w:autoSpaceDE w:val="0"/>
      <w:autoSpaceDN w:val="0"/>
      <w:adjustRightInd w:val="0"/>
      <w:jc w:val="center"/>
      <w:rPr>
        <w:rFonts w:ascii="Baskerville Old Face" w:hAnsi="Baskerville Old Face"/>
        <w:color w:val="808080"/>
        <w:sz w:val="16"/>
      </w:rPr>
    </w:pPr>
    <w:r w:rsidRPr="00186954">
      <w:rPr>
        <w:rFonts w:ascii="Baskerville Old Face" w:hAnsi="Baskerville Old Face"/>
        <w:color w:val="808080"/>
        <w:sz w:val="16"/>
      </w:rPr>
      <w:t>Javier Barros Sierra No. 515, Col. Lomas de Santa Fe, Del. Álvaro Obregón, CP. 01219, México, D.F.</w:t>
    </w:r>
  </w:p>
  <w:p w:rsidR="001630C0" w:rsidRPr="001630C0" w:rsidRDefault="001630C0" w:rsidP="001630C0">
    <w:pPr>
      <w:widowControl w:val="0"/>
      <w:autoSpaceDE w:val="0"/>
      <w:autoSpaceDN w:val="0"/>
      <w:adjustRightInd w:val="0"/>
      <w:jc w:val="center"/>
      <w:rPr>
        <w:rFonts w:ascii="Baskerville Old Face" w:hAnsi="Baskerville Old Face"/>
        <w:color w:val="7F7F7F"/>
        <w:sz w:val="16"/>
      </w:rPr>
    </w:pPr>
    <w:r w:rsidRPr="00186954">
      <w:rPr>
        <w:rFonts w:ascii="Baskerville Old Face" w:hAnsi="Baskerville Old Face"/>
        <w:color w:val="808080"/>
        <w:sz w:val="16"/>
      </w:rPr>
      <w:t>Tel.: (55) 52 70 12 00  www.banobras.gob.mx</w:t>
    </w:r>
    <w:hyperlink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0C" w:rsidRDefault="0021000C" w:rsidP="001630C0">
      <w:r>
        <w:separator/>
      </w:r>
    </w:p>
  </w:footnote>
  <w:footnote w:type="continuationSeparator" w:id="0">
    <w:p w:rsidR="0021000C" w:rsidRDefault="0021000C" w:rsidP="00163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C0" w:rsidRPr="001630C0" w:rsidRDefault="00983201" w:rsidP="001630C0">
    <w:r>
      <w:rPr>
        <w:i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48F100D9" wp14:editId="60BA66D6">
          <wp:simplePos x="0" y="0"/>
          <wp:positionH relativeFrom="column">
            <wp:posOffset>3937482</wp:posOffset>
          </wp:positionH>
          <wp:positionV relativeFrom="paragraph">
            <wp:posOffset>201143</wp:posOffset>
          </wp:positionV>
          <wp:extent cx="1678305" cy="51879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7" t="34300" r="9915" b="32211"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0C0">
      <w:rPr>
        <w:i/>
        <w:noProof/>
        <w:lang w:val="es-MX" w:eastAsia="es-MX"/>
      </w:rPr>
      <w:drawing>
        <wp:inline distT="0" distB="0" distL="0" distR="0" wp14:anchorId="7D264DAF" wp14:editId="417F3A6B">
          <wp:extent cx="2337435" cy="835025"/>
          <wp:effectExtent l="0" t="0" r="571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0C0" w:rsidRPr="001630C0">
      <w:rPr>
        <w:i/>
        <w:noProof/>
        <w:lang w:eastAsia="es-MX"/>
      </w:rPr>
      <w:t xml:space="preserve">     </w:t>
    </w:r>
    <w:r w:rsidR="001630C0">
      <w:rPr>
        <w:i/>
        <w:noProof/>
        <w:lang w:eastAsia="es-MX"/>
      </w:rPr>
      <w:t xml:space="preserve">                                                                                       </w:t>
    </w:r>
    <w:r w:rsidR="001630C0" w:rsidRPr="001630C0">
      <w:rPr>
        <w:i/>
        <w:noProof/>
        <w:lang w:eastAsia="es-MX"/>
      </w:rPr>
      <w:t xml:space="preserve">                                          </w:t>
    </w:r>
  </w:p>
  <w:p w:rsidR="001630C0" w:rsidRPr="001630C0" w:rsidRDefault="001630C0" w:rsidP="001630C0">
    <w:pPr>
      <w:tabs>
        <w:tab w:val="center" w:pos="4419"/>
        <w:tab w:val="left" w:pos="7887"/>
        <w:tab w:val="right" w:pos="8838"/>
        <w:tab w:val="right" w:pos="9972"/>
      </w:tabs>
      <w:ind w:left="-426"/>
      <w:jc w:val="right"/>
      <w:rPr>
        <w:rFonts w:ascii="Baskerville Old Face" w:hAnsi="Baskerville Old Face"/>
        <w:smallCaps/>
        <w:color w:val="C0C0C0"/>
        <w:w w:val="150"/>
        <w:sz w:val="18"/>
        <w:szCs w:val="18"/>
      </w:rPr>
    </w:pPr>
    <w:r w:rsidRPr="001630C0">
      <w:rPr>
        <w:rFonts w:ascii="Baskerville Old Face" w:hAnsi="Baskerville Old Face"/>
        <w:smallCaps/>
        <w:color w:val="C0C0C0"/>
        <w:w w:val="150"/>
        <w:sz w:val="18"/>
        <w:szCs w:val="18"/>
      </w:rPr>
      <w:t>dirección fiduciaria</w:t>
    </w:r>
  </w:p>
  <w:p w:rsidR="001630C0" w:rsidRPr="001630C0" w:rsidRDefault="001630C0" w:rsidP="001630C0">
    <w:pPr>
      <w:tabs>
        <w:tab w:val="center" w:pos="4419"/>
        <w:tab w:val="left" w:pos="7887"/>
        <w:tab w:val="right" w:pos="8838"/>
        <w:tab w:val="right" w:pos="9972"/>
      </w:tabs>
      <w:ind w:left="-426"/>
      <w:jc w:val="right"/>
      <w:rPr>
        <w:rFonts w:ascii="Baskerville Old Face" w:hAnsi="Baskerville Old Face"/>
        <w:smallCaps/>
        <w:color w:val="C0C0C0"/>
        <w:w w:val="150"/>
        <w:sz w:val="18"/>
        <w:szCs w:val="18"/>
      </w:rPr>
    </w:pPr>
    <w:r w:rsidRPr="001630C0">
      <w:rPr>
        <w:rFonts w:ascii="Baskerville Old Face" w:hAnsi="Baskerville Old Face"/>
        <w:smallCaps/>
        <w:color w:val="C0C0C0"/>
        <w:w w:val="150"/>
        <w:sz w:val="18"/>
        <w:szCs w:val="18"/>
      </w:rPr>
      <w:t>subdirección de operación técnica y seguimiento</w:t>
    </w:r>
  </w:p>
  <w:p w:rsidR="001630C0" w:rsidRPr="001630C0" w:rsidRDefault="001630C0" w:rsidP="001630C0">
    <w:pPr>
      <w:tabs>
        <w:tab w:val="center" w:pos="4419"/>
        <w:tab w:val="left" w:pos="7887"/>
        <w:tab w:val="right" w:pos="8838"/>
        <w:tab w:val="right" w:pos="9972"/>
      </w:tabs>
      <w:ind w:left="-426"/>
      <w:jc w:val="right"/>
      <w:rPr>
        <w:rFonts w:ascii="Baskerville Old Face" w:hAnsi="Baskerville Old Face"/>
        <w:smallCaps/>
        <w:color w:val="C0C0C0"/>
        <w:w w:val="150"/>
        <w:sz w:val="18"/>
        <w:szCs w:val="18"/>
      </w:rPr>
    </w:pPr>
    <w:r w:rsidRPr="001630C0">
      <w:rPr>
        <w:rFonts w:ascii="Baskerville Old Face" w:hAnsi="Baskerville Old Face"/>
        <w:smallCaps/>
        <w:color w:val="C0C0C0"/>
        <w:w w:val="150"/>
        <w:sz w:val="18"/>
        <w:szCs w:val="18"/>
      </w:rPr>
      <w:t xml:space="preserve">gerencia de </w:t>
    </w:r>
    <w:r w:rsidR="00983201">
      <w:rPr>
        <w:rFonts w:ascii="Baskerville Old Face" w:hAnsi="Baskerville Old Face"/>
        <w:smallCaps/>
        <w:color w:val="C0C0C0"/>
        <w:w w:val="150"/>
        <w:sz w:val="18"/>
        <w:szCs w:val="18"/>
      </w:rPr>
      <w:t>obras</w:t>
    </w:r>
  </w:p>
  <w:p w:rsidR="001630C0" w:rsidRPr="001630C0" w:rsidRDefault="001630C0" w:rsidP="001630C0">
    <w:pPr>
      <w:tabs>
        <w:tab w:val="center" w:pos="4419"/>
        <w:tab w:val="right" w:pos="10490"/>
      </w:tabs>
      <w:ind w:left="-426" w:right="-478"/>
      <w:jc w:val="both"/>
      <w:rPr>
        <w:rFonts w:ascii="Arial Narrow" w:hAnsi="Arial Narrow"/>
        <w:b/>
        <w:smallCaps/>
        <w:color w:val="C0C0C0"/>
        <w:w w:val="150"/>
        <w:sz w:val="18"/>
        <w:szCs w:val="18"/>
      </w:rPr>
    </w:pPr>
    <w:r w:rsidRPr="001630C0">
      <w:rPr>
        <w:rFonts w:ascii="Arial Narrow" w:hAnsi="Arial Narrow"/>
        <w:b/>
        <w:smallCaps/>
        <w:color w:val="C0C0C0"/>
        <w:w w:val="150"/>
        <w:sz w:val="18"/>
        <w:szCs w:val="18"/>
      </w:rPr>
      <w:t xml:space="preserve">                                             </w:t>
    </w:r>
  </w:p>
  <w:p w:rsidR="001630C0" w:rsidRDefault="00983201" w:rsidP="00983201">
    <w:pPr>
      <w:tabs>
        <w:tab w:val="center" w:pos="4419"/>
        <w:tab w:val="left" w:pos="7887"/>
        <w:tab w:val="right" w:pos="8838"/>
        <w:tab w:val="right" w:pos="9972"/>
      </w:tabs>
      <w:ind w:left="-426"/>
      <w:jc w:val="right"/>
      <w:rPr>
        <w:rFonts w:ascii="Baskerville Old Face" w:hAnsi="Baskerville Old Face"/>
        <w:smallCaps/>
        <w:w w:val="150"/>
        <w:sz w:val="16"/>
        <w:szCs w:val="16"/>
      </w:rPr>
    </w:pPr>
    <w:r w:rsidRPr="00742601">
      <w:rPr>
        <w:rFonts w:ascii="Baskerville Old Face" w:hAnsi="Baskerville Old Face"/>
        <w:smallCaps/>
        <w:color w:val="C0C0C0"/>
        <w:w w:val="150"/>
        <w:sz w:val="16"/>
        <w:szCs w:val="16"/>
      </w:rPr>
      <w:t>licitación pública nacional no</w:t>
    </w:r>
    <w:r w:rsidR="00092BB6">
      <w:rPr>
        <w:rFonts w:ascii="Baskerville Old Face" w:hAnsi="Baskerville Old Face"/>
        <w:smallCaps/>
        <w:color w:val="C0C0C0"/>
        <w:w w:val="150"/>
        <w:sz w:val="16"/>
        <w:szCs w:val="16"/>
      </w:rPr>
      <w:t xml:space="preserve"> </w:t>
    </w:r>
    <w:r w:rsidRPr="00742601">
      <w:rPr>
        <w:rFonts w:ascii="Baskerville Old Face" w:hAnsi="Baskerville Old Face" w:cs="Arial"/>
        <w:sz w:val="16"/>
        <w:szCs w:val="16"/>
      </w:rPr>
      <w:t xml:space="preserve"> </w:t>
    </w:r>
    <w:r w:rsidR="00F31C19">
      <w:rPr>
        <w:rFonts w:ascii="Baskerville Old Face" w:hAnsi="Baskerville Old Face" w:cs="Arial"/>
        <w:sz w:val="16"/>
        <w:szCs w:val="16"/>
      </w:rPr>
      <w:t xml:space="preserve"> </w:t>
    </w:r>
    <w:r w:rsidR="00092BB6">
      <w:rPr>
        <w:rFonts w:ascii="Baskerville Old Face" w:hAnsi="Baskerville Old Face"/>
        <w:smallCaps/>
        <w:w w:val="150"/>
        <w:sz w:val="16"/>
        <w:szCs w:val="16"/>
      </w:rPr>
      <w:t>LO-006G1C003-N1-2014</w:t>
    </w:r>
  </w:p>
  <w:p w:rsidR="00983201" w:rsidRPr="000D344C" w:rsidRDefault="00983201" w:rsidP="00983201">
    <w:pPr>
      <w:tabs>
        <w:tab w:val="center" w:pos="4419"/>
        <w:tab w:val="left" w:pos="7887"/>
        <w:tab w:val="right" w:pos="8838"/>
        <w:tab w:val="right" w:pos="9972"/>
      </w:tabs>
      <w:ind w:left="-426"/>
      <w:jc w:val="right"/>
      <w:rPr>
        <w:rFonts w:ascii="Baskerville Old Face" w:hAnsi="Baskerville Old Face"/>
        <w:b/>
        <w:smallCaps/>
        <w:color w:val="C0C0C0"/>
        <w:w w:val="15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77B"/>
    <w:multiLevelType w:val="singleLevel"/>
    <w:tmpl w:val="BDCA63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8DC1D31"/>
    <w:multiLevelType w:val="singleLevel"/>
    <w:tmpl w:val="BDCA63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BCD3D9E"/>
    <w:multiLevelType w:val="singleLevel"/>
    <w:tmpl w:val="BDCA63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21C705EA"/>
    <w:multiLevelType w:val="hybridMultilevel"/>
    <w:tmpl w:val="63B0E2AC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1C4761"/>
    <w:multiLevelType w:val="singleLevel"/>
    <w:tmpl w:val="BDCA63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683914D5"/>
    <w:multiLevelType w:val="singleLevel"/>
    <w:tmpl w:val="E3FE49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E805333"/>
    <w:multiLevelType w:val="singleLevel"/>
    <w:tmpl w:val="BD0CF0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0C0"/>
    <w:rsid w:val="00092BB6"/>
    <w:rsid w:val="000B4BDA"/>
    <w:rsid w:val="000D344C"/>
    <w:rsid w:val="001630C0"/>
    <w:rsid w:val="0021000C"/>
    <w:rsid w:val="002242CF"/>
    <w:rsid w:val="00496EB4"/>
    <w:rsid w:val="004F30F8"/>
    <w:rsid w:val="0067386A"/>
    <w:rsid w:val="006D730B"/>
    <w:rsid w:val="006F1ECB"/>
    <w:rsid w:val="007C33CA"/>
    <w:rsid w:val="00831B7E"/>
    <w:rsid w:val="008F503C"/>
    <w:rsid w:val="00983201"/>
    <w:rsid w:val="009F41F2"/>
    <w:rsid w:val="00AE1907"/>
    <w:rsid w:val="00EA02B9"/>
    <w:rsid w:val="00EE15C7"/>
    <w:rsid w:val="00F0015C"/>
    <w:rsid w:val="00F3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CB65D67-A556-48AB-9DE3-EF8DEE18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630C0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630C0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1630C0"/>
    <w:pPr>
      <w:overflowPunct w:val="0"/>
      <w:autoSpaceDE w:val="0"/>
      <w:autoSpaceDN w:val="0"/>
      <w:adjustRightInd w:val="0"/>
      <w:ind w:left="450"/>
      <w:jc w:val="both"/>
      <w:textAlignment w:val="baseline"/>
    </w:pPr>
    <w:rPr>
      <w:sz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630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0C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630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0C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0C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630C0"/>
    <w:pPr>
      <w:ind w:left="708"/>
    </w:pPr>
  </w:style>
  <w:style w:type="paragraph" w:customStyle="1" w:styleId="ROMANOS">
    <w:name w:val="ROMANOS"/>
    <w:basedOn w:val="Normal"/>
    <w:rsid w:val="000B4BD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sz w:val="18"/>
      <w:lang w:val="es-ES_tradnl"/>
    </w:rPr>
  </w:style>
  <w:style w:type="paragraph" w:customStyle="1" w:styleId="Texto">
    <w:name w:val="Texto"/>
    <w:basedOn w:val="Normal"/>
    <w:rsid w:val="000B4BDA"/>
    <w:pPr>
      <w:spacing w:after="101" w:line="216" w:lineRule="exact"/>
      <w:ind w:firstLine="288"/>
      <w:jc w:val="both"/>
    </w:pPr>
    <w:rPr>
      <w:sz w:val="18"/>
      <w:lang w:val="es-MX"/>
    </w:rPr>
  </w:style>
  <w:style w:type="paragraph" w:customStyle="1" w:styleId="INCISO">
    <w:name w:val="INCISO"/>
    <w:basedOn w:val="Normal"/>
    <w:rsid w:val="000B4BDA"/>
    <w:pPr>
      <w:spacing w:after="101" w:line="216" w:lineRule="exact"/>
      <w:ind w:left="1296" w:hanging="576"/>
      <w:jc w:val="both"/>
    </w:pPr>
    <w:rPr>
      <w:sz w:val="18"/>
      <w:lang w:val="es-MX"/>
    </w:rPr>
  </w:style>
  <w:style w:type="paragraph" w:styleId="NormalWeb">
    <w:name w:val="Normal (Web)"/>
    <w:basedOn w:val="Normal"/>
    <w:rsid w:val="000B4BD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1221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Diaz Flores, Francisco J</cp:lastModifiedBy>
  <cp:revision>9</cp:revision>
  <cp:lastPrinted>2013-10-02T23:21:00Z</cp:lastPrinted>
  <dcterms:created xsi:type="dcterms:W3CDTF">2013-09-03T17:59:00Z</dcterms:created>
  <dcterms:modified xsi:type="dcterms:W3CDTF">2014-05-16T19:00:00Z</dcterms:modified>
</cp:coreProperties>
</file>