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A9" w:rsidRPr="00142AA9" w:rsidRDefault="00142AA9" w:rsidP="005C5036">
      <w:pPr>
        <w:spacing w:before="240" w:after="240"/>
        <w:rPr>
          <w:rFonts w:ascii="Arial" w:hAnsi="Arial" w:cs="Arial"/>
          <w:b/>
        </w:rPr>
      </w:pPr>
      <w:r w:rsidRPr="00142AA9">
        <w:rPr>
          <w:rFonts w:ascii="Arial" w:hAnsi="Arial" w:cs="Arial"/>
          <w:b/>
          <w:bCs/>
        </w:rPr>
        <w:t xml:space="preserve">SERVICIOS DE SUPERVISIÓN TÉCNICA Y </w:t>
      </w:r>
      <w:r w:rsidR="00DE6A5A">
        <w:rPr>
          <w:rFonts w:ascii="Arial" w:hAnsi="Arial" w:cs="Arial"/>
          <w:b/>
          <w:bCs/>
        </w:rPr>
        <w:t>VERIFICACIÓN</w:t>
      </w:r>
      <w:r w:rsidRPr="00142AA9">
        <w:rPr>
          <w:rFonts w:ascii="Arial" w:hAnsi="Arial" w:cs="Arial"/>
          <w:b/>
          <w:bCs/>
        </w:rPr>
        <w:t xml:space="preserve"> DE CALIDAD DE LA OBRA: </w:t>
      </w:r>
      <w:r w:rsidR="00DE6A5A">
        <w:rPr>
          <w:rFonts w:ascii="Arial" w:hAnsi="Arial" w:cs="Arial"/>
          <w:b/>
          <w:iCs/>
        </w:rPr>
        <w:t>_____________</w:t>
      </w:r>
      <w:r>
        <w:rPr>
          <w:rFonts w:ascii="Arial" w:hAnsi="Arial" w:cs="Arial"/>
          <w:b/>
          <w:bCs/>
        </w:rPr>
        <w:t>.</w:t>
      </w:r>
    </w:p>
    <w:p w:rsidR="00B67E03" w:rsidRPr="00FB5C49" w:rsidRDefault="00B67E03" w:rsidP="00B67E03">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B67E03" w:rsidRPr="00FB5C49" w:rsidRDefault="00B67E03" w:rsidP="00B67E03">
      <w:pPr>
        <w:widowControl w:val="0"/>
        <w:tabs>
          <w:tab w:val="left" w:pos="851"/>
        </w:tabs>
        <w:ind w:left="851"/>
        <w:jc w:val="both"/>
        <w:rPr>
          <w:rFonts w:ascii="Arial" w:hAnsi="Arial" w:cs="Arial"/>
          <w:color w:val="000000"/>
        </w:rPr>
      </w:pPr>
      <w:r w:rsidRPr="00FB5C49">
        <w:rPr>
          <w:rFonts w:ascii="Arial" w:hAnsi="Arial" w:cs="Arial"/>
          <w:color w:val="000000"/>
        </w:rPr>
        <w:t>La contratista atenderá con amplitud y eficacia las normas y procedimientos de seguridad y salvaguarda que garanticen la integridad física de los usuarios de la carretera, puentes e instalaciones y la de los trabajadores que participan en la obra.</w:t>
      </w:r>
    </w:p>
    <w:p w:rsidR="00B67E03" w:rsidRPr="00FB5C49" w:rsidRDefault="00B67E03" w:rsidP="00B67E03">
      <w:pPr>
        <w:widowControl w:val="0"/>
        <w:tabs>
          <w:tab w:val="left" w:pos="851"/>
        </w:tabs>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r w:rsidRPr="00FB5C49">
        <w:rPr>
          <w:rFonts w:ascii="Arial" w:hAnsi="Arial" w:cs="Arial"/>
          <w:b/>
        </w:rPr>
        <w:t xml:space="preserve"> Esta constancia deberá entregarse MENSUALMENTE copia al residente de obra, como representante de </w:t>
      </w:r>
      <w:r w:rsidR="0099255C">
        <w:rPr>
          <w:rFonts w:ascii="Arial" w:hAnsi="Arial" w:cs="Arial"/>
          <w:b/>
          <w:color w:val="000000"/>
        </w:rPr>
        <w:t>la “Convocante”</w:t>
      </w:r>
      <w:r>
        <w:rPr>
          <w:rFonts w:ascii="Arial" w:hAnsi="Arial" w:cs="Arial"/>
          <w:b/>
          <w:color w:val="000000"/>
        </w:rPr>
        <w:t>,</w:t>
      </w:r>
    </w:p>
    <w:p w:rsidR="00B67E03" w:rsidRPr="00FB5C49" w:rsidRDefault="00B67E03" w:rsidP="00B67E03">
      <w:pPr>
        <w:widowControl w:val="0"/>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edad mínima de los trabajadores contratados por la contratista será la establecida en la Ley Federal del Trabajo vigente.</w:t>
      </w:r>
    </w:p>
    <w:p w:rsidR="00B67E03" w:rsidRPr="00FB5C49" w:rsidRDefault="00B67E03" w:rsidP="00B67E03">
      <w:pPr>
        <w:pStyle w:val="Prrafodelista"/>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Cuando por causas fortuitas ocurra algún accidente, la empresa de supervisión y la empresa ejecutora de los trabajos atenderán de inmediato las soluciones pertinentes, debiendo informar oportunamente a </w:t>
      </w:r>
      <w:r w:rsidR="0099255C">
        <w:rPr>
          <w:rFonts w:ascii="Arial" w:hAnsi="Arial" w:cs="Arial"/>
          <w:color w:val="000000"/>
        </w:rPr>
        <w:t>la “Convocante”</w:t>
      </w:r>
      <w:r>
        <w:rPr>
          <w:rFonts w:ascii="Arial" w:hAnsi="Arial" w:cs="Arial"/>
          <w:color w:val="000000"/>
        </w:rPr>
        <w:t xml:space="preserve">, </w:t>
      </w:r>
      <w:r w:rsidRPr="00FB5C49">
        <w:rPr>
          <w:rFonts w:ascii="Arial" w:hAnsi="Arial" w:cs="Arial"/>
          <w:color w:val="000000"/>
        </w:rPr>
        <w:t>las causas, medidas preventivas tomadas y riesgos posibles.</w:t>
      </w:r>
    </w:p>
    <w:p w:rsidR="00B67E03" w:rsidRPr="00FB5C49" w:rsidRDefault="00B67E03" w:rsidP="00B67E03">
      <w:pPr>
        <w:widowControl w:val="0"/>
        <w:ind w:left="851"/>
        <w:jc w:val="both"/>
        <w:rPr>
          <w:rFonts w:ascii="Arial" w:hAnsi="Arial" w:cs="Arial"/>
          <w:color w:val="00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00733B0D" w:rsidRPr="00FB5C49">
        <w:rPr>
          <w:rFonts w:ascii="Arial" w:hAnsi="Arial" w:cs="Arial"/>
          <w:color w:val="000000"/>
        </w:rPr>
        <w:t>,</w:t>
      </w:r>
      <w:r w:rsidRPr="00FB5C49">
        <w:rPr>
          <w:rFonts w:ascii="Arial" w:hAnsi="Arial" w:cs="Arial"/>
          <w:color w:val="000000"/>
        </w:rPr>
        <w:t xml:space="preserve"> así como los días que se suspenden las actividades por motivos de seguridad por la alta afluencia de vehículos, así mismo</w:t>
      </w:r>
      <w:r w:rsidR="00733B0D" w:rsidRPr="00FB5C49">
        <w:rPr>
          <w:rFonts w:ascii="Arial" w:hAnsi="Arial" w:cs="Arial"/>
          <w:color w:val="000000"/>
        </w:rPr>
        <w:t>,</w:t>
      </w:r>
      <w:r w:rsidRPr="00FB5C49">
        <w:rPr>
          <w:rFonts w:ascii="Arial" w:hAnsi="Arial" w:cs="Arial"/>
          <w:color w:val="000000"/>
        </w:rPr>
        <w:t xml:space="preserve"> deberá considerar las interrupciones por lluvia.</w:t>
      </w:r>
    </w:p>
    <w:p w:rsidR="0075529D" w:rsidRPr="00FB5C49" w:rsidRDefault="0075529D" w:rsidP="00E60787">
      <w:pPr>
        <w:spacing w:before="120"/>
        <w:ind w:left="851"/>
        <w:jc w:val="both"/>
        <w:rPr>
          <w:rFonts w:ascii="Arial" w:hAnsi="Arial" w:cs="Arial"/>
          <w:color w:val="000000"/>
        </w:rPr>
      </w:pPr>
    </w:p>
    <w:p w:rsidR="0075529D" w:rsidRPr="00FB5C49" w:rsidRDefault="0075529D" w:rsidP="00E60787">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 xml:space="preserve">A solicitud de la empresa </w:t>
      </w:r>
      <w:r w:rsidR="006F09D9" w:rsidRPr="00FB5C49">
        <w:rPr>
          <w:rFonts w:ascii="Arial" w:hAnsi="Arial" w:cs="Arial"/>
          <w:color w:val="000000"/>
        </w:rPr>
        <w:t>contratista</w:t>
      </w:r>
      <w:r w:rsidRPr="00FB5C49">
        <w:rPr>
          <w:rFonts w:ascii="Arial" w:hAnsi="Arial" w:cs="Arial"/>
          <w:color w:val="000000"/>
        </w:rPr>
        <w:t xml:space="preserve"> para realizar trabajos fuera del horario establecido, para recuperar atrasos y cumplir con el programa fijado, o por conveniencia de la misma, previa autorización de </w:t>
      </w:r>
      <w:r w:rsidR="0099255C">
        <w:rPr>
          <w:rFonts w:ascii="Arial" w:hAnsi="Arial" w:cs="Arial"/>
        </w:rPr>
        <w:t>la “Convocante”</w:t>
      </w:r>
      <w:r w:rsidRPr="00FB5C49">
        <w:rPr>
          <w:rFonts w:ascii="Arial" w:hAnsi="Arial" w:cs="Arial"/>
          <w:color w:val="000000"/>
        </w:rPr>
        <w:t xml:space="preserve">, la contratista estará obligada a realizar el pago </w:t>
      </w:r>
      <w:r w:rsidR="00733B0D" w:rsidRPr="00FB5C49">
        <w:rPr>
          <w:rFonts w:ascii="Arial" w:hAnsi="Arial" w:cs="Arial"/>
          <w:color w:val="000000"/>
        </w:rPr>
        <w:t xml:space="preserve">de </w:t>
      </w:r>
      <w:r w:rsidRPr="00FB5C49">
        <w:rPr>
          <w:rFonts w:ascii="Arial" w:hAnsi="Arial" w:cs="Arial"/>
          <w:color w:val="000000"/>
        </w:rPr>
        <w:t>la Supervisión del tiempo extraordinario cubriendo el personal que esté supervisando el tramo en el que se esté trabajando fuera de horario establecido en estas especificaciones.</w:t>
      </w:r>
    </w:p>
    <w:p w:rsidR="0075529D" w:rsidRPr="00FB5C49" w:rsidRDefault="0075529D" w:rsidP="00E60787">
      <w:pPr>
        <w:tabs>
          <w:tab w:val="left" w:pos="851"/>
        </w:tabs>
        <w:ind w:left="851"/>
        <w:jc w:val="both"/>
        <w:rPr>
          <w:rFonts w:ascii="Arial" w:hAnsi="Arial" w:cs="Arial"/>
          <w:color w:val="000000"/>
        </w:rPr>
      </w:pP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 xml:space="preserve">Queda estrictamente prohibido cerrar </w:t>
      </w:r>
      <w:r w:rsidR="00925195" w:rsidRPr="00FB5C49">
        <w:rPr>
          <w:rFonts w:ascii="Arial" w:hAnsi="Arial" w:cs="Arial"/>
          <w:color w:val="000000"/>
        </w:rPr>
        <w:t xml:space="preserve">al tráfico </w:t>
      </w:r>
      <w:r w:rsidRPr="00FB5C49">
        <w:rPr>
          <w:rFonts w:ascii="Arial" w:hAnsi="Arial" w:cs="Arial"/>
          <w:color w:val="000000"/>
        </w:rPr>
        <w:t xml:space="preserve">los carriles de circulación </w:t>
      </w:r>
      <w:r w:rsidR="00925195" w:rsidRPr="00FB5C49">
        <w:rPr>
          <w:rFonts w:ascii="Arial" w:hAnsi="Arial" w:cs="Arial"/>
          <w:color w:val="000000"/>
        </w:rPr>
        <w:t>del desvío</w:t>
      </w:r>
      <w:r w:rsidRPr="00FB5C49">
        <w:rPr>
          <w:rFonts w:ascii="Arial" w:hAnsi="Arial" w:cs="Arial"/>
          <w:color w:val="000000"/>
        </w:rPr>
        <w:t>.</w:t>
      </w:r>
    </w:p>
    <w:p w:rsidR="009A5255" w:rsidRPr="00FB5C49" w:rsidRDefault="009A5255" w:rsidP="00E60787">
      <w:pPr>
        <w:tabs>
          <w:tab w:val="left" w:pos="851"/>
        </w:tabs>
        <w:jc w:val="both"/>
        <w:rPr>
          <w:rFonts w:ascii="Arial" w:hAnsi="Arial" w:cs="Arial"/>
          <w:color w:val="000000"/>
        </w:rPr>
      </w:pPr>
    </w:p>
    <w:p w:rsidR="0075529D" w:rsidRPr="00FB5C49" w:rsidRDefault="00C55927" w:rsidP="00E60787">
      <w:pPr>
        <w:spacing w:before="120"/>
        <w:ind w:left="851"/>
        <w:jc w:val="both"/>
        <w:rPr>
          <w:rFonts w:ascii="Arial" w:hAnsi="Arial" w:cs="Arial"/>
          <w:color w:val="000000"/>
        </w:rPr>
      </w:pPr>
      <w:r>
        <w:rPr>
          <w:rFonts w:ascii="Arial" w:hAnsi="Arial" w:cs="Arial"/>
          <w:color w:val="000000"/>
        </w:rPr>
        <w:t>12.4</w:t>
      </w:r>
      <w:r w:rsidR="0075529D" w:rsidRPr="00FB5C49">
        <w:rPr>
          <w:rFonts w:ascii="Arial" w:hAnsi="Arial" w:cs="Arial"/>
          <w:color w:val="000000"/>
        </w:rPr>
        <w:t>.-</w:t>
      </w:r>
      <w:r w:rsidR="0075529D" w:rsidRPr="00FB5C49">
        <w:rPr>
          <w:rFonts w:ascii="Arial" w:hAnsi="Arial" w:cs="Arial"/>
          <w:color w:val="000000"/>
        </w:rPr>
        <w:tab/>
        <w:t>También, el licitante deberá considerar las posibles interrupciones previsibles que puedan suscitarse en el desarrollo de los trabajos. Los días que se asentarán dentro de su análisis de indirectos estarán respaldados en base a la é</w:t>
      </w:r>
      <w:r w:rsidR="004B7D1E">
        <w:rPr>
          <w:rFonts w:ascii="Arial" w:hAnsi="Arial" w:cs="Arial"/>
          <w:color w:val="000000"/>
        </w:rPr>
        <w:t>poca de lluvias en donde no está</w:t>
      </w:r>
      <w:r w:rsidR="0075529D" w:rsidRPr="00FB5C49">
        <w:rPr>
          <w:rFonts w:ascii="Arial" w:hAnsi="Arial" w:cs="Arial"/>
          <w:color w:val="000000"/>
        </w:rPr>
        <w:t xml:space="preserve">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0099255C">
        <w:rPr>
          <w:rFonts w:ascii="Arial" w:hAnsi="Arial" w:cs="Arial"/>
        </w:rPr>
        <w:t>la “Convocante”</w:t>
      </w:r>
      <w:r w:rsidR="0075529D" w:rsidRPr="00FB5C49">
        <w:rPr>
          <w:rFonts w:ascii="Arial" w:hAnsi="Arial" w:cs="Arial"/>
          <w:color w:val="000000"/>
        </w:rPr>
        <w:t xml:space="preserve"> a solicitud del contratista.</w:t>
      </w:r>
    </w:p>
    <w:p w:rsidR="0075529D" w:rsidRPr="00FB5C49" w:rsidRDefault="00C55927" w:rsidP="00E60787">
      <w:pPr>
        <w:spacing w:before="120"/>
        <w:ind w:left="851"/>
        <w:jc w:val="both"/>
        <w:rPr>
          <w:rFonts w:ascii="Arial" w:hAnsi="Arial" w:cs="Arial"/>
        </w:rPr>
      </w:pPr>
      <w:r>
        <w:rPr>
          <w:rFonts w:ascii="Arial" w:hAnsi="Arial" w:cs="Arial"/>
          <w:color w:val="000000"/>
        </w:rPr>
        <w:t>12.5</w:t>
      </w:r>
      <w:r w:rsidR="0075529D" w:rsidRPr="00FB5C49">
        <w:rPr>
          <w:rFonts w:ascii="Arial" w:hAnsi="Arial" w:cs="Arial"/>
          <w:color w:val="000000"/>
        </w:rPr>
        <w:t>.-</w:t>
      </w:r>
      <w:r w:rsidR="0075529D" w:rsidRPr="00FB5C49">
        <w:rPr>
          <w:rFonts w:ascii="Arial" w:hAnsi="Arial" w:cs="Arial"/>
          <w:color w:val="000000"/>
        </w:rPr>
        <w:tab/>
      </w:r>
      <w:r w:rsidR="0075529D" w:rsidRPr="00FB5C49">
        <w:rPr>
          <w:rFonts w:ascii="Arial" w:hAnsi="Arial" w:cs="Arial"/>
        </w:rPr>
        <w:t xml:space="preserve">También debe considerar las interrupciones que se originen por la temporada por lluvia de acuerdo a la zona de precipitación pluvial. Si la intensidad de las lluvias es similar a la de 60 meses anteriores a la presentación de su propuesta, no será causa de reprogramación, solo en caso de evento naturales extraordinarios </w:t>
      </w:r>
      <w:r w:rsidR="00873E6E" w:rsidRPr="00FB5C49">
        <w:rPr>
          <w:rFonts w:ascii="Arial" w:hAnsi="Arial" w:cs="Arial"/>
        </w:rPr>
        <w:t xml:space="preserve">debidamente sustentados </w:t>
      </w:r>
      <w:r w:rsidR="0075529D" w:rsidRPr="00FB5C49">
        <w:rPr>
          <w:rFonts w:ascii="Arial" w:hAnsi="Arial" w:cs="Arial"/>
        </w:rPr>
        <w:t>se estudiará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DE6A5A">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99255C">
        <w:rPr>
          <w:rFonts w:ascii="Arial" w:hAnsi="Arial" w:cs="Arial"/>
        </w:rPr>
        <w:t>la “Convocante”</w:t>
      </w:r>
      <w:r w:rsidRPr="00FB5C49">
        <w:rPr>
          <w:rFonts w:ascii="Arial" w:hAnsi="Arial" w:cs="Arial"/>
          <w:color w:val="000000"/>
        </w:rPr>
        <w:t xml:space="preserve"> para su aprobación.</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 xml:space="preserve">Si en el proceso de </w:t>
      </w:r>
      <w:r w:rsidR="00300C2C">
        <w:rPr>
          <w:rFonts w:cs="Arial"/>
          <w:color w:val="000000"/>
          <w:sz w:val="20"/>
        </w:rPr>
        <w:t>los trabajos</w:t>
      </w:r>
      <w:r w:rsidRPr="00FB5C49">
        <w:rPr>
          <w:rFonts w:cs="Arial"/>
          <w:color w:val="000000"/>
          <w:sz w:val="20"/>
        </w:rPr>
        <w:t xml:space="preserve">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99255C">
        <w:rPr>
          <w:rFonts w:cs="Arial"/>
          <w:sz w:val="20"/>
        </w:rPr>
        <w:t>la “Convocante”</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CUOTAS DE PEAJE.</w:t>
      </w:r>
    </w:p>
    <w:p w:rsidR="002407EF" w:rsidRPr="00FB5C49" w:rsidRDefault="00300C2C" w:rsidP="00AA7ED8">
      <w:pPr>
        <w:pStyle w:val="Textoindependiente2"/>
        <w:spacing w:before="120"/>
        <w:rPr>
          <w:rFonts w:ascii="Arial" w:hAnsi="Arial" w:cs="Arial"/>
          <w:b/>
          <w:bCs/>
          <w:color w:val="FF0000"/>
        </w:rPr>
      </w:pPr>
      <w:r>
        <w:rPr>
          <w:rFonts w:ascii="Arial" w:hAnsi="Arial" w:cs="Arial"/>
        </w:rPr>
        <w:t>L</w:t>
      </w:r>
      <w:r w:rsidR="0099255C">
        <w:rPr>
          <w:rFonts w:ascii="Arial" w:hAnsi="Arial" w:cs="Arial"/>
        </w:rPr>
        <w:t>a “Convocante”</w:t>
      </w:r>
      <w:r w:rsidR="002407EF" w:rsidRPr="00FB5C49">
        <w:rPr>
          <w:rFonts w:ascii="Arial" w:hAnsi="Arial" w:cs="Arial"/>
        </w:rPr>
        <w:t xml:space="preserve"> no otorga ningún exento o tratamiento especial por el cruce de casetas de cobro, por lo que el costo de las mismas debe  de incluirse en el análisis de sus costos indirectos</w:t>
      </w:r>
      <w:r w:rsidR="002407EF" w:rsidRPr="00FB5C49">
        <w:rPr>
          <w:rFonts w:ascii="Arial" w:hAnsi="Arial" w:cs="Arial"/>
          <w:b/>
          <w:bCs/>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7D5668" w:rsidP="00761B0A">
      <w:pPr>
        <w:tabs>
          <w:tab w:val="left" w:pos="-1440"/>
          <w:tab w:val="left" w:pos="-720"/>
        </w:tabs>
        <w:suppressAutoHyphens/>
        <w:ind w:left="851"/>
        <w:jc w:val="both"/>
        <w:rPr>
          <w:rFonts w:ascii="Arial" w:hAnsi="Arial" w:cs="Arial"/>
        </w:rPr>
      </w:pPr>
      <w:r>
        <w:rPr>
          <w:rFonts w:ascii="Arial" w:hAnsi="Arial" w:cs="Arial"/>
        </w:rPr>
        <w:t>Banco Nacional de Obras y Servicios Públicos SNC</w:t>
      </w:r>
      <w:r w:rsidR="00761B0A">
        <w:rPr>
          <w:rFonts w:ascii="Arial" w:hAnsi="Arial" w:cs="Arial"/>
        </w:rPr>
        <w:t xml:space="preserve"> </w:t>
      </w:r>
      <w:r w:rsidR="00761B0A" w:rsidRPr="00761B0A">
        <w:rPr>
          <w:rFonts w:ascii="Arial" w:hAnsi="Arial" w:cs="Arial"/>
        </w:rPr>
        <w:t>Institución Fiduciaria en el Fideicomiso No. 1936 “Fondo Nacional de Infraestructura”</w:t>
      </w:r>
      <w:r w:rsidR="0075529D" w:rsidRPr="00FB5C49">
        <w:rPr>
          <w:rFonts w:ascii="Arial" w:hAnsi="Arial" w:cs="Arial"/>
        </w:rPr>
        <w:t>, 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w:t>
      </w:r>
      <w:r w:rsidR="00300C2C">
        <w:rPr>
          <w:rFonts w:ascii="Arial" w:hAnsi="Arial" w:cs="Arial"/>
        </w:rPr>
        <w:t xml:space="preserve"> no</w:t>
      </w:r>
      <w:r w:rsidRPr="00AA7ED8">
        <w:rPr>
          <w:rFonts w:ascii="Arial" w:hAnsi="Arial" w:cs="Arial"/>
        </w:rPr>
        <w:t xml:space="preserve"> exista sistema municipal de alcantarillado, sanitario, se deberán diseñar y construir sistemas adecuados para el tratamiento de aguas residuales.</w:t>
      </w:r>
    </w:p>
    <w:p w:rsidR="00DE6A5A" w:rsidRPr="00AA7ED8" w:rsidRDefault="00DE6A5A" w:rsidP="00DE6A5A">
      <w:pPr>
        <w:pStyle w:val="Prrafodelista"/>
        <w:widowControl w:val="0"/>
        <w:tabs>
          <w:tab w:val="left" w:pos="851"/>
        </w:tabs>
        <w:spacing w:before="120"/>
        <w:ind w:left="1571" w:right="-3"/>
        <w:jc w:val="both"/>
        <w:rPr>
          <w:rFonts w:ascii="Arial" w:hAnsi="Arial" w:cs="Arial"/>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99255C">
        <w:rPr>
          <w:rFonts w:ascii="Arial" w:hAnsi="Arial" w:cs="Arial"/>
          <w:b/>
        </w:rPr>
        <w:t>la “Convocante”</w:t>
      </w:r>
      <w:r w:rsidRPr="00FB5C49">
        <w:rPr>
          <w:rFonts w:ascii="Arial" w:hAnsi="Arial" w:cs="Arial"/>
          <w:b/>
        </w:rPr>
        <w:t xml:space="preserve"> enmarcada en esta especificación, acatando las instrucciones que gire el representante del mismo para l</w:t>
      </w:r>
      <w:r w:rsidR="00300C2C">
        <w:rPr>
          <w:rFonts w:ascii="Arial" w:hAnsi="Arial" w:cs="Arial"/>
          <w:b/>
        </w:rPr>
        <w:t>a protección del medio ambiente.</w:t>
      </w:r>
    </w:p>
    <w:p w:rsidR="0075529D" w:rsidRPr="00FB5C49" w:rsidRDefault="0075529D" w:rsidP="00DE6A5A">
      <w:pPr>
        <w:pStyle w:val="Ttulo1"/>
        <w:numPr>
          <w:ilvl w:val="0"/>
          <w:numId w:val="17"/>
        </w:numPr>
        <w:tabs>
          <w:tab w:val="left" w:pos="851"/>
        </w:tabs>
        <w:spacing w:before="240" w:after="240"/>
        <w:ind w:left="851" w:hanging="851"/>
        <w:jc w:val="left"/>
        <w:rPr>
          <w:rFonts w:cs="Arial"/>
          <w:b/>
          <w:sz w:val="20"/>
        </w:rPr>
      </w:pPr>
      <w:r w:rsidRPr="00FB5C49">
        <w:rPr>
          <w:rFonts w:cs="Arial"/>
          <w:b/>
          <w:sz w:val="20"/>
        </w:rPr>
        <w:lastRenderedPageBreak/>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2</w:t>
      </w:r>
      <w:r w:rsidR="0075529D" w:rsidRPr="00FB5C49">
        <w:rPr>
          <w:rFonts w:ascii="Arial" w:hAnsi="Arial" w:cs="Arial"/>
          <w:color w:val="000000"/>
        </w:rPr>
        <w:t>)</w:t>
      </w:r>
      <w:r w:rsidR="0075529D"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E</w:t>
      </w:r>
      <w:r w:rsidR="0075529D" w:rsidRPr="00FB5C49">
        <w:rPr>
          <w:rFonts w:ascii="Arial" w:hAnsi="Arial" w:cs="Arial"/>
          <w:color w:val="000000"/>
        </w:rPr>
        <w:t>)</w:t>
      </w:r>
      <w:r w:rsidR="0075529D"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F</w:t>
      </w:r>
      <w:r w:rsidR="0075529D" w:rsidRPr="00FB5C49">
        <w:rPr>
          <w:rFonts w:ascii="Arial" w:hAnsi="Arial" w:cs="Arial"/>
          <w:color w:val="000000"/>
        </w:rPr>
        <w:t>)</w:t>
      </w:r>
      <w:r w:rsidR="0075529D"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G</w:t>
      </w:r>
      <w:r w:rsidR="0075529D" w:rsidRPr="00FB5C49">
        <w:rPr>
          <w:rFonts w:ascii="Arial" w:hAnsi="Arial" w:cs="Arial"/>
          <w:color w:val="000000"/>
        </w:rPr>
        <w:t>)</w:t>
      </w:r>
      <w:r w:rsidR="0075529D"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H</w:t>
      </w:r>
      <w:r w:rsidR="0075529D" w:rsidRPr="00FB5C49">
        <w:rPr>
          <w:rFonts w:ascii="Arial" w:hAnsi="Arial" w:cs="Arial"/>
          <w:color w:val="000000"/>
        </w:rPr>
        <w:t>)</w:t>
      </w:r>
      <w:r w:rsidR="0075529D" w:rsidRPr="00FB5C49">
        <w:rPr>
          <w:rFonts w:ascii="Arial" w:hAnsi="Arial" w:cs="Arial"/>
          <w:color w:val="000000"/>
        </w:rPr>
        <w:tab/>
        <w:t xml:space="preserve">Suspender de inmediato </w:t>
      </w:r>
      <w:r w:rsidR="00595DB2">
        <w:rPr>
          <w:rFonts w:ascii="Arial" w:hAnsi="Arial" w:cs="Arial"/>
          <w:color w:val="000000"/>
        </w:rPr>
        <w:t>los trabajos</w:t>
      </w:r>
      <w:r w:rsidR="0075529D" w:rsidRPr="00FB5C49">
        <w:rPr>
          <w:rFonts w:ascii="Arial" w:hAnsi="Arial" w:cs="Arial"/>
          <w:color w:val="000000"/>
        </w:rPr>
        <w:t>,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99255C">
        <w:rPr>
          <w:rFonts w:ascii="Arial" w:hAnsi="Arial" w:cs="Arial"/>
        </w:rPr>
        <w:t>la “Convocante”</w:t>
      </w:r>
      <w:r w:rsidRPr="00FB5C49">
        <w:rPr>
          <w:rFonts w:ascii="Arial" w:hAnsi="Arial" w:cs="Arial"/>
          <w:color w:val="000000"/>
          <w:lang w:val="es-ES_tradnl"/>
        </w:rPr>
        <w:t xml:space="preserve"> o a terceras personas, con motivo de la ejecución de las obras, por no ajustarse a lo estipulado en el contrato, por inobservancia de las instr</w:t>
      </w:r>
      <w:r w:rsidR="007D5668">
        <w:rPr>
          <w:rFonts w:ascii="Arial" w:hAnsi="Arial" w:cs="Arial"/>
          <w:color w:val="000000"/>
          <w:lang w:val="es-ES_tradnl"/>
        </w:rPr>
        <w:t xml:space="preserve">ucciones dadas por escrito por </w:t>
      </w:r>
      <w:r w:rsidR="0099255C">
        <w:rPr>
          <w:rFonts w:ascii="Arial" w:hAnsi="Arial" w:cs="Arial"/>
        </w:rPr>
        <w:t>la “Convocante”</w:t>
      </w:r>
      <w:r w:rsidRPr="00FB5C49">
        <w:rPr>
          <w:rFonts w:ascii="Arial" w:hAnsi="Arial" w:cs="Arial"/>
          <w:color w:val="000000"/>
          <w:lang w:val="es-ES_tradnl"/>
        </w:rPr>
        <w:t xml:space="preserve"> 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Si durante el desarrollo de la obra hubiera necesidad de realizar cambios a los planos y especificaciones para adecuarlos a las condiciones del terreno o alguna indicación que varíe de manera sustancial la ejecución de los trabajos, la orden debe prov</w:t>
      </w:r>
      <w:r w:rsidR="00595DB2">
        <w:rPr>
          <w:rFonts w:cs="Arial"/>
          <w:b w:val="0"/>
          <w:color w:val="000000"/>
          <w:sz w:val="20"/>
        </w:rPr>
        <w:t>enir del personal autorizado de</w:t>
      </w:r>
      <w:r w:rsidRPr="00FB5C49">
        <w:rPr>
          <w:rFonts w:cs="Arial"/>
          <w:b w:val="0"/>
          <w:color w:val="000000"/>
          <w:sz w:val="20"/>
        </w:rPr>
        <w:t xml:space="preserve"> </w:t>
      </w:r>
      <w:r w:rsidR="0099255C">
        <w:rPr>
          <w:rFonts w:cs="Arial"/>
          <w:b w:val="0"/>
          <w:sz w:val="20"/>
        </w:rPr>
        <w:t>la “Convocante”</w:t>
      </w:r>
      <w:r w:rsidRPr="00FB5C49">
        <w:rPr>
          <w:rFonts w:cs="Arial"/>
          <w:b w:val="0"/>
          <w:color w:val="000000"/>
          <w:sz w:val="20"/>
        </w:rPr>
        <w:t xml:space="preserve"> para tal fin y de</w:t>
      </w:r>
      <w:bookmarkStart w:id="0" w:name="_GoBack"/>
      <w:bookmarkEnd w:id="0"/>
      <w:r w:rsidRPr="00FB5C49">
        <w:rPr>
          <w:rFonts w:cs="Arial"/>
          <w:b w:val="0"/>
          <w:color w:val="000000"/>
          <w:sz w:val="20"/>
        </w:rPr>
        <w:t>be anotarse en bitácora, de no realizarse esta anotación la indicación no podrá surtir efecto.</w:t>
      </w:r>
    </w:p>
    <w:sectPr w:rsidR="0075529D" w:rsidRPr="00FB5C49" w:rsidSect="008C362C">
      <w:headerReference w:type="default" r:id="rId8"/>
      <w:footerReference w:type="default" r:id="rId9"/>
      <w:pgSz w:w="12242" w:h="15842" w:code="1"/>
      <w:pgMar w:top="2126"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0F" w:rsidRDefault="00352E0F">
      <w:r>
        <w:separator/>
      </w:r>
    </w:p>
  </w:endnote>
  <w:endnote w:type="continuationSeparator" w:id="0">
    <w:p w:rsidR="00352E0F" w:rsidRDefault="003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4171C6">
      <w:rPr>
        <w:rStyle w:val="Nmerodepgina"/>
        <w:rFonts w:ascii="Verdana" w:hAnsi="Verdana"/>
        <w:noProof/>
        <w:sz w:val="18"/>
      </w:rPr>
      <w:t>3</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4171C6">
      <w:rPr>
        <w:rStyle w:val="Nmerodepgina"/>
        <w:rFonts w:ascii="Verdana" w:hAnsi="Verdana"/>
        <w:noProof/>
        <w:sz w:val="18"/>
      </w:rPr>
      <w:t>4</w:t>
    </w:r>
    <w:r>
      <w:rPr>
        <w:rStyle w:val="Nmerodepgina"/>
        <w:rFonts w:ascii="Verdana" w:hAnsi="Verdana"/>
        <w:sz w:val="18"/>
      </w:rPr>
      <w:fldChar w:fldCharType="end"/>
    </w:r>
  </w:p>
  <w:p w:rsidR="005C5036" w:rsidRDefault="005C5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0F" w:rsidRDefault="00352E0F">
      <w:r>
        <w:separator/>
      </w:r>
    </w:p>
  </w:footnote>
  <w:footnote w:type="continuationSeparator" w:id="0">
    <w:p w:rsidR="00352E0F" w:rsidRDefault="0035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rsidP="00B1018A">
    <w:pPr>
      <w:tabs>
        <w:tab w:val="left" w:pos="4185"/>
      </w:tabs>
      <w:ind w:firstLine="1416"/>
      <w:jc w:val="center"/>
      <w:rPr>
        <w:rFonts w:ascii="Calibri" w:hAnsi="Calibri" w:cs="Calibri"/>
        <w:b/>
        <w:bCs/>
      </w:rPr>
    </w:pPr>
    <w:r>
      <w:rPr>
        <w:b/>
        <w:sz w:val="18"/>
      </w:rPr>
      <w:t xml:space="preserve">                                        </w:t>
    </w:r>
    <w:r>
      <w:t xml:space="preserve">                         </w:t>
    </w:r>
    <w:r>
      <w:rPr>
        <w:noProof/>
        <w:lang w:eastAsia="es-MX"/>
      </w:rPr>
      <w:drawing>
        <wp:anchor distT="0" distB="0" distL="114300" distR="114300" simplePos="0" relativeHeight="251658240" behindDoc="0" locked="0" layoutInCell="1" allowOverlap="1" wp14:anchorId="17683DC0" wp14:editId="1515B1AA">
          <wp:simplePos x="0" y="0"/>
          <wp:positionH relativeFrom="column">
            <wp:posOffset>-1905</wp:posOffset>
          </wp:positionH>
          <wp:positionV relativeFrom="paragraph">
            <wp:posOffset>-99695</wp:posOffset>
          </wp:positionV>
          <wp:extent cx="1741170" cy="548640"/>
          <wp:effectExtent l="0" t="0" r="0" b="3810"/>
          <wp:wrapSquare wrapText="bothSides"/>
          <wp:docPr id="3" name="Imagen 4"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jdiazf\Pictures\Nueva carpeta\LOGO%2~1.JPG"/>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117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036" w:rsidRPr="00457841" w:rsidRDefault="005C5036" w:rsidP="00B1018A">
    <w:pPr>
      <w:tabs>
        <w:tab w:val="left" w:pos="4185"/>
      </w:tabs>
      <w:ind w:firstLine="1416"/>
      <w:jc w:val="center"/>
      <w:rPr>
        <w:rFonts w:ascii="Calibri" w:hAnsi="Calibri" w:cs="Calibri"/>
        <w:b/>
        <w:bCs/>
      </w:rPr>
    </w:pPr>
  </w:p>
  <w:p w:rsidR="005C5036" w:rsidRPr="00457841" w:rsidRDefault="005C5036" w:rsidP="00B1018A">
    <w:pPr>
      <w:tabs>
        <w:tab w:val="left" w:pos="1635"/>
      </w:tabs>
      <w:jc w:val="center"/>
      <w:rPr>
        <w:rFonts w:ascii="Calibri" w:hAnsi="Calibri" w:cs="Calibri"/>
        <w:b/>
        <w:bCs/>
        <w:sz w:val="16"/>
        <w:szCs w:val="16"/>
      </w:rPr>
    </w:pPr>
  </w:p>
  <w:p w:rsidR="005C5036" w:rsidRPr="00963464" w:rsidRDefault="005C5036" w:rsidP="00B1018A">
    <w:pPr>
      <w:tabs>
        <w:tab w:val="left" w:pos="4185"/>
      </w:tabs>
      <w:jc w:val="center"/>
      <w:rPr>
        <w:b/>
      </w:rPr>
    </w:pPr>
    <w:r>
      <w:rPr>
        <w:rFonts w:ascii="Calibri" w:hAnsi="Calibri" w:cs="Calibri"/>
        <w:b/>
        <w:bCs/>
      </w:rPr>
      <w:t xml:space="preserve">                                  </w:t>
    </w:r>
  </w:p>
  <w:p w:rsidR="005C5036" w:rsidRDefault="005C5036">
    <w:pPr>
      <w:pStyle w:val="Encabezado"/>
      <w:rPr>
        <w:sz w:val="18"/>
      </w:rPr>
    </w:pPr>
  </w:p>
  <w:p w:rsidR="005C5036" w:rsidRDefault="005C5036" w:rsidP="00B1018A">
    <w:pPr>
      <w:overflowPunct w:val="0"/>
      <w:autoSpaceDE w:val="0"/>
      <w:autoSpaceDN w:val="0"/>
      <w:adjustRightInd w:val="0"/>
      <w:textAlignment w:val="baseline"/>
      <w:rPr>
        <w:rFonts w:ascii="Arial" w:hAnsi="Arial" w:cs="Arial"/>
        <w:b/>
        <w:u w:val="single"/>
        <w:lang w:val="pt-BR"/>
      </w:rPr>
    </w:pPr>
  </w:p>
  <w:p w:rsidR="005C5036" w:rsidRDefault="005C5036" w:rsidP="004D5914">
    <w:pPr>
      <w:overflowPunct w:val="0"/>
      <w:autoSpaceDE w:val="0"/>
      <w:autoSpaceDN w:val="0"/>
      <w:adjustRightInd w:val="0"/>
      <w:jc w:val="center"/>
      <w:textAlignment w:val="baseline"/>
      <w:rPr>
        <w:rFonts w:ascii="Arial" w:hAnsi="Arial" w:cs="Arial"/>
        <w:b/>
        <w:u w:val="single"/>
        <w:lang w:val="pt-BR"/>
      </w:rPr>
    </w:pPr>
  </w:p>
  <w:p w:rsidR="005C5036" w:rsidRPr="00FB5C49" w:rsidRDefault="005C5036" w:rsidP="004D5914">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5C5036" w:rsidRDefault="005C5036">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3"/>
    <w:rsid w:val="00001142"/>
    <w:rsid w:val="000015A5"/>
    <w:rsid w:val="0000198E"/>
    <w:rsid w:val="00002172"/>
    <w:rsid w:val="0000224B"/>
    <w:rsid w:val="00004661"/>
    <w:rsid w:val="0000599D"/>
    <w:rsid w:val="000100A5"/>
    <w:rsid w:val="0001170E"/>
    <w:rsid w:val="0001461D"/>
    <w:rsid w:val="00014FD6"/>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7FF6"/>
    <w:rsid w:val="000A01C8"/>
    <w:rsid w:val="000A1B39"/>
    <w:rsid w:val="000A1FA7"/>
    <w:rsid w:val="000A588D"/>
    <w:rsid w:val="000A7613"/>
    <w:rsid w:val="000B082A"/>
    <w:rsid w:val="000B0FCF"/>
    <w:rsid w:val="000B4516"/>
    <w:rsid w:val="000B4C1F"/>
    <w:rsid w:val="000B66EC"/>
    <w:rsid w:val="000B7332"/>
    <w:rsid w:val="000B7C03"/>
    <w:rsid w:val="000C096D"/>
    <w:rsid w:val="000C242D"/>
    <w:rsid w:val="000C48D2"/>
    <w:rsid w:val="000C6A17"/>
    <w:rsid w:val="000D2973"/>
    <w:rsid w:val="000D2EAD"/>
    <w:rsid w:val="000D40B9"/>
    <w:rsid w:val="000E3FA1"/>
    <w:rsid w:val="000F054E"/>
    <w:rsid w:val="000F0EED"/>
    <w:rsid w:val="000F1271"/>
    <w:rsid w:val="000F14AF"/>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2D8B"/>
    <w:rsid w:val="001338E0"/>
    <w:rsid w:val="00135158"/>
    <w:rsid w:val="0014034C"/>
    <w:rsid w:val="001407D4"/>
    <w:rsid w:val="001423A8"/>
    <w:rsid w:val="00142AA9"/>
    <w:rsid w:val="00142EF1"/>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1F4CB6"/>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32C"/>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2E5"/>
    <w:rsid w:val="002B7EA1"/>
    <w:rsid w:val="002C0B8D"/>
    <w:rsid w:val="002C280A"/>
    <w:rsid w:val="002C294C"/>
    <w:rsid w:val="002C2BAB"/>
    <w:rsid w:val="002C446E"/>
    <w:rsid w:val="002C458C"/>
    <w:rsid w:val="002C54D4"/>
    <w:rsid w:val="002C59D7"/>
    <w:rsid w:val="002D03E1"/>
    <w:rsid w:val="002D1A53"/>
    <w:rsid w:val="002D1F8F"/>
    <w:rsid w:val="002D348F"/>
    <w:rsid w:val="002D3C55"/>
    <w:rsid w:val="002D5041"/>
    <w:rsid w:val="002D53F4"/>
    <w:rsid w:val="002D76CA"/>
    <w:rsid w:val="002D7A48"/>
    <w:rsid w:val="002D7B58"/>
    <w:rsid w:val="002E0283"/>
    <w:rsid w:val="002E110C"/>
    <w:rsid w:val="002E2E3A"/>
    <w:rsid w:val="002E32E3"/>
    <w:rsid w:val="002E549D"/>
    <w:rsid w:val="002E6F8D"/>
    <w:rsid w:val="002E786C"/>
    <w:rsid w:val="002E7D5A"/>
    <w:rsid w:val="002F069C"/>
    <w:rsid w:val="002F07D0"/>
    <w:rsid w:val="002F0D9B"/>
    <w:rsid w:val="002F24D1"/>
    <w:rsid w:val="002F2A44"/>
    <w:rsid w:val="002F2D2C"/>
    <w:rsid w:val="002F38F2"/>
    <w:rsid w:val="002F698C"/>
    <w:rsid w:val="00300457"/>
    <w:rsid w:val="00300601"/>
    <w:rsid w:val="00300870"/>
    <w:rsid w:val="00300C2C"/>
    <w:rsid w:val="003017C2"/>
    <w:rsid w:val="00303267"/>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E0F"/>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1DFF"/>
    <w:rsid w:val="003924FF"/>
    <w:rsid w:val="00393E97"/>
    <w:rsid w:val="003949A5"/>
    <w:rsid w:val="00395BFE"/>
    <w:rsid w:val="003970B1"/>
    <w:rsid w:val="003973B7"/>
    <w:rsid w:val="00397585"/>
    <w:rsid w:val="003A48BE"/>
    <w:rsid w:val="003A6C03"/>
    <w:rsid w:val="003B0683"/>
    <w:rsid w:val="003B161E"/>
    <w:rsid w:val="003B24FA"/>
    <w:rsid w:val="003B60B8"/>
    <w:rsid w:val="003C1583"/>
    <w:rsid w:val="003C2BD8"/>
    <w:rsid w:val="003C350A"/>
    <w:rsid w:val="003C6C5A"/>
    <w:rsid w:val="003C74A1"/>
    <w:rsid w:val="003D03CA"/>
    <w:rsid w:val="003D15C8"/>
    <w:rsid w:val="003D31B2"/>
    <w:rsid w:val="003D5B5B"/>
    <w:rsid w:val="003E5678"/>
    <w:rsid w:val="003E7CF7"/>
    <w:rsid w:val="003E7EB3"/>
    <w:rsid w:val="003F1337"/>
    <w:rsid w:val="003F5F90"/>
    <w:rsid w:val="004023A9"/>
    <w:rsid w:val="0040539B"/>
    <w:rsid w:val="004073F5"/>
    <w:rsid w:val="00407D02"/>
    <w:rsid w:val="00410D7B"/>
    <w:rsid w:val="0041178E"/>
    <w:rsid w:val="00414844"/>
    <w:rsid w:val="004171C6"/>
    <w:rsid w:val="00417AAD"/>
    <w:rsid w:val="00422413"/>
    <w:rsid w:val="00426EEF"/>
    <w:rsid w:val="00434A96"/>
    <w:rsid w:val="0043615F"/>
    <w:rsid w:val="00440E14"/>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A6ADB"/>
    <w:rsid w:val="004B1984"/>
    <w:rsid w:val="004B30A5"/>
    <w:rsid w:val="004B6FF2"/>
    <w:rsid w:val="004B7D1E"/>
    <w:rsid w:val="004C0900"/>
    <w:rsid w:val="004C17C3"/>
    <w:rsid w:val="004C3796"/>
    <w:rsid w:val="004C4512"/>
    <w:rsid w:val="004C5ADD"/>
    <w:rsid w:val="004C61B8"/>
    <w:rsid w:val="004D3AF0"/>
    <w:rsid w:val="004D5914"/>
    <w:rsid w:val="004D5F4E"/>
    <w:rsid w:val="004D6FD4"/>
    <w:rsid w:val="004D70E9"/>
    <w:rsid w:val="004E4DC5"/>
    <w:rsid w:val="004E531A"/>
    <w:rsid w:val="004E5BD3"/>
    <w:rsid w:val="004E6560"/>
    <w:rsid w:val="004E72AE"/>
    <w:rsid w:val="004E7670"/>
    <w:rsid w:val="004F0127"/>
    <w:rsid w:val="004F0667"/>
    <w:rsid w:val="004F0E90"/>
    <w:rsid w:val="004F1309"/>
    <w:rsid w:val="004F247E"/>
    <w:rsid w:val="004F436A"/>
    <w:rsid w:val="004F4F1A"/>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769C0"/>
    <w:rsid w:val="0058069A"/>
    <w:rsid w:val="00581383"/>
    <w:rsid w:val="00584E94"/>
    <w:rsid w:val="00586A84"/>
    <w:rsid w:val="00587F35"/>
    <w:rsid w:val="005914E9"/>
    <w:rsid w:val="00592AE9"/>
    <w:rsid w:val="00592E77"/>
    <w:rsid w:val="005939FD"/>
    <w:rsid w:val="00594B72"/>
    <w:rsid w:val="00595DB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036"/>
    <w:rsid w:val="005C5200"/>
    <w:rsid w:val="005C7968"/>
    <w:rsid w:val="005D0C3E"/>
    <w:rsid w:val="005E007B"/>
    <w:rsid w:val="005E1740"/>
    <w:rsid w:val="005E35B6"/>
    <w:rsid w:val="005E459D"/>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00B3"/>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AE1"/>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95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5A25"/>
    <w:rsid w:val="0072685E"/>
    <w:rsid w:val="00726B50"/>
    <w:rsid w:val="00726CF8"/>
    <w:rsid w:val="00726D00"/>
    <w:rsid w:val="007311E9"/>
    <w:rsid w:val="0073222B"/>
    <w:rsid w:val="00733491"/>
    <w:rsid w:val="00733B0D"/>
    <w:rsid w:val="00733B3E"/>
    <w:rsid w:val="00734BFB"/>
    <w:rsid w:val="00740966"/>
    <w:rsid w:val="00741219"/>
    <w:rsid w:val="00745C2A"/>
    <w:rsid w:val="00746BF6"/>
    <w:rsid w:val="007508A9"/>
    <w:rsid w:val="00750B15"/>
    <w:rsid w:val="007520E8"/>
    <w:rsid w:val="00754C0F"/>
    <w:rsid w:val="00755055"/>
    <w:rsid w:val="0075529D"/>
    <w:rsid w:val="007567D6"/>
    <w:rsid w:val="00760A1B"/>
    <w:rsid w:val="00761B0A"/>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181"/>
    <w:rsid w:val="007D0819"/>
    <w:rsid w:val="007D0D4B"/>
    <w:rsid w:val="007D26D7"/>
    <w:rsid w:val="007D26EB"/>
    <w:rsid w:val="007D4D64"/>
    <w:rsid w:val="007D5668"/>
    <w:rsid w:val="007E12B0"/>
    <w:rsid w:val="007E1DC7"/>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95F"/>
    <w:rsid w:val="00822DDF"/>
    <w:rsid w:val="00823648"/>
    <w:rsid w:val="00823EC5"/>
    <w:rsid w:val="008244CF"/>
    <w:rsid w:val="00830ACA"/>
    <w:rsid w:val="00831627"/>
    <w:rsid w:val="008316FE"/>
    <w:rsid w:val="00836A75"/>
    <w:rsid w:val="00837841"/>
    <w:rsid w:val="008418D7"/>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2D5"/>
    <w:rsid w:val="00887985"/>
    <w:rsid w:val="00892A32"/>
    <w:rsid w:val="00894367"/>
    <w:rsid w:val="008968C2"/>
    <w:rsid w:val="008A21F8"/>
    <w:rsid w:val="008A7763"/>
    <w:rsid w:val="008A7D59"/>
    <w:rsid w:val="008B0005"/>
    <w:rsid w:val="008B3691"/>
    <w:rsid w:val="008B38B6"/>
    <w:rsid w:val="008B672C"/>
    <w:rsid w:val="008B70C9"/>
    <w:rsid w:val="008B71E1"/>
    <w:rsid w:val="008B7895"/>
    <w:rsid w:val="008C0CB2"/>
    <w:rsid w:val="008C1E90"/>
    <w:rsid w:val="008C3384"/>
    <w:rsid w:val="008C362C"/>
    <w:rsid w:val="008C3914"/>
    <w:rsid w:val="008C4A2A"/>
    <w:rsid w:val="008C4B7A"/>
    <w:rsid w:val="008C57B1"/>
    <w:rsid w:val="008D01D4"/>
    <w:rsid w:val="008D672B"/>
    <w:rsid w:val="008E0815"/>
    <w:rsid w:val="008E20F0"/>
    <w:rsid w:val="008E5B02"/>
    <w:rsid w:val="008E6C5D"/>
    <w:rsid w:val="008F0603"/>
    <w:rsid w:val="008F19A8"/>
    <w:rsid w:val="008F27FF"/>
    <w:rsid w:val="008F6567"/>
    <w:rsid w:val="009010F4"/>
    <w:rsid w:val="00901904"/>
    <w:rsid w:val="00902543"/>
    <w:rsid w:val="00904069"/>
    <w:rsid w:val="00906CDA"/>
    <w:rsid w:val="009071E4"/>
    <w:rsid w:val="00911E5A"/>
    <w:rsid w:val="00911FCA"/>
    <w:rsid w:val="0091426F"/>
    <w:rsid w:val="00916F30"/>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70E85"/>
    <w:rsid w:val="00974F11"/>
    <w:rsid w:val="00975EBD"/>
    <w:rsid w:val="00976E43"/>
    <w:rsid w:val="009833B1"/>
    <w:rsid w:val="00984D52"/>
    <w:rsid w:val="00987332"/>
    <w:rsid w:val="00987416"/>
    <w:rsid w:val="00990C3E"/>
    <w:rsid w:val="0099255C"/>
    <w:rsid w:val="0099398F"/>
    <w:rsid w:val="00995AD8"/>
    <w:rsid w:val="009962BB"/>
    <w:rsid w:val="009A0198"/>
    <w:rsid w:val="009A0B6C"/>
    <w:rsid w:val="009A3768"/>
    <w:rsid w:val="009A5255"/>
    <w:rsid w:val="009A61EE"/>
    <w:rsid w:val="009A67FC"/>
    <w:rsid w:val="009B224B"/>
    <w:rsid w:val="009C4D2C"/>
    <w:rsid w:val="009C60C1"/>
    <w:rsid w:val="009C6E9A"/>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2CCA"/>
    <w:rsid w:val="00A03671"/>
    <w:rsid w:val="00A03B08"/>
    <w:rsid w:val="00A043AD"/>
    <w:rsid w:val="00A06F3C"/>
    <w:rsid w:val="00A1033C"/>
    <w:rsid w:val="00A13731"/>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6779"/>
    <w:rsid w:val="00AF788A"/>
    <w:rsid w:val="00B04B6B"/>
    <w:rsid w:val="00B050CC"/>
    <w:rsid w:val="00B05CE6"/>
    <w:rsid w:val="00B05D20"/>
    <w:rsid w:val="00B1018A"/>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17AB"/>
    <w:rsid w:val="00B43969"/>
    <w:rsid w:val="00B44B1A"/>
    <w:rsid w:val="00B462E1"/>
    <w:rsid w:val="00B4736F"/>
    <w:rsid w:val="00B47B08"/>
    <w:rsid w:val="00B5297E"/>
    <w:rsid w:val="00B52DB7"/>
    <w:rsid w:val="00B543F0"/>
    <w:rsid w:val="00B5571B"/>
    <w:rsid w:val="00B55972"/>
    <w:rsid w:val="00B57E78"/>
    <w:rsid w:val="00B61157"/>
    <w:rsid w:val="00B61439"/>
    <w:rsid w:val="00B6189F"/>
    <w:rsid w:val="00B6259A"/>
    <w:rsid w:val="00B62761"/>
    <w:rsid w:val="00B63B9C"/>
    <w:rsid w:val="00B63BAA"/>
    <w:rsid w:val="00B65ADC"/>
    <w:rsid w:val="00B67E03"/>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2D42"/>
    <w:rsid w:val="00BB42F4"/>
    <w:rsid w:val="00BB641B"/>
    <w:rsid w:val="00BB709A"/>
    <w:rsid w:val="00BB7493"/>
    <w:rsid w:val="00BC03D1"/>
    <w:rsid w:val="00BC12DD"/>
    <w:rsid w:val="00BC1D77"/>
    <w:rsid w:val="00BC2463"/>
    <w:rsid w:val="00BC4020"/>
    <w:rsid w:val="00BD0BA8"/>
    <w:rsid w:val="00BD27F2"/>
    <w:rsid w:val="00BD2C85"/>
    <w:rsid w:val="00BD2E9F"/>
    <w:rsid w:val="00BD3CBD"/>
    <w:rsid w:val="00BD4AB0"/>
    <w:rsid w:val="00BD4B09"/>
    <w:rsid w:val="00BD6923"/>
    <w:rsid w:val="00BE19CE"/>
    <w:rsid w:val="00BE2093"/>
    <w:rsid w:val="00BE24DA"/>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4EAB"/>
    <w:rsid w:val="00C554E0"/>
    <w:rsid w:val="00C55927"/>
    <w:rsid w:val="00C56F27"/>
    <w:rsid w:val="00C74625"/>
    <w:rsid w:val="00C768CF"/>
    <w:rsid w:val="00C8146A"/>
    <w:rsid w:val="00C81A85"/>
    <w:rsid w:val="00C81D40"/>
    <w:rsid w:val="00C8264D"/>
    <w:rsid w:val="00C95489"/>
    <w:rsid w:val="00CA30EB"/>
    <w:rsid w:val="00CA61E0"/>
    <w:rsid w:val="00CA620E"/>
    <w:rsid w:val="00CB0536"/>
    <w:rsid w:val="00CB06E9"/>
    <w:rsid w:val="00CB181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34B3"/>
    <w:rsid w:val="00CF37B3"/>
    <w:rsid w:val="00CF5FC1"/>
    <w:rsid w:val="00CF5FF8"/>
    <w:rsid w:val="00CF6C6C"/>
    <w:rsid w:val="00D03A62"/>
    <w:rsid w:val="00D042BB"/>
    <w:rsid w:val="00D04D9A"/>
    <w:rsid w:val="00D06107"/>
    <w:rsid w:val="00D06C95"/>
    <w:rsid w:val="00D07361"/>
    <w:rsid w:val="00D078F3"/>
    <w:rsid w:val="00D10074"/>
    <w:rsid w:val="00D107DB"/>
    <w:rsid w:val="00D178D2"/>
    <w:rsid w:val="00D20C9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57B67"/>
    <w:rsid w:val="00D625E5"/>
    <w:rsid w:val="00D64940"/>
    <w:rsid w:val="00D667EB"/>
    <w:rsid w:val="00D714B2"/>
    <w:rsid w:val="00D714F5"/>
    <w:rsid w:val="00D727CC"/>
    <w:rsid w:val="00D72940"/>
    <w:rsid w:val="00D745EC"/>
    <w:rsid w:val="00D777AA"/>
    <w:rsid w:val="00D8041B"/>
    <w:rsid w:val="00D9334E"/>
    <w:rsid w:val="00D93E15"/>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1742"/>
    <w:rsid w:val="00DD2B43"/>
    <w:rsid w:val="00DD3491"/>
    <w:rsid w:val="00DD69CF"/>
    <w:rsid w:val="00DD6B6C"/>
    <w:rsid w:val="00DD7D4A"/>
    <w:rsid w:val="00DD7DD9"/>
    <w:rsid w:val="00DE6A5A"/>
    <w:rsid w:val="00DE6D34"/>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76949"/>
    <w:rsid w:val="00E80889"/>
    <w:rsid w:val="00E81C51"/>
    <w:rsid w:val="00E82013"/>
    <w:rsid w:val="00E848F2"/>
    <w:rsid w:val="00E90D7E"/>
    <w:rsid w:val="00E9360F"/>
    <w:rsid w:val="00E9431F"/>
    <w:rsid w:val="00E95BDC"/>
    <w:rsid w:val="00E96871"/>
    <w:rsid w:val="00E97D14"/>
    <w:rsid w:val="00E97EB1"/>
    <w:rsid w:val="00EA2719"/>
    <w:rsid w:val="00EA686E"/>
    <w:rsid w:val="00EA7B82"/>
    <w:rsid w:val="00EB2098"/>
    <w:rsid w:val="00EB32F7"/>
    <w:rsid w:val="00EB592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3D4D"/>
    <w:rsid w:val="00EE50B5"/>
    <w:rsid w:val="00EE5EDC"/>
    <w:rsid w:val="00EF1989"/>
    <w:rsid w:val="00EF2CE4"/>
    <w:rsid w:val="00EF3D88"/>
    <w:rsid w:val="00EF50F6"/>
    <w:rsid w:val="00F0056D"/>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51370"/>
    <w:rsid w:val="00F52A3F"/>
    <w:rsid w:val="00F53167"/>
    <w:rsid w:val="00F5389C"/>
    <w:rsid w:val="00F5562C"/>
    <w:rsid w:val="00F55687"/>
    <w:rsid w:val="00F56444"/>
    <w:rsid w:val="00F56A9F"/>
    <w:rsid w:val="00F57837"/>
    <w:rsid w:val="00F60656"/>
    <w:rsid w:val="00F62743"/>
    <w:rsid w:val="00F739AB"/>
    <w:rsid w:val="00F77AF8"/>
    <w:rsid w:val="00F81235"/>
    <w:rsid w:val="00F83570"/>
    <w:rsid w:val="00F85101"/>
    <w:rsid w:val="00F853DA"/>
    <w:rsid w:val="00F90EA6"/>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C7243-CC47-4BAB-AFD7-442804AC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A10F-ACC2-42D4-8B0B-68F23CFD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1621</Words>
  <Characters>8921</Characters>
  <Application>Microsoft Office Word</Application>
  <DocSecurity>0</DocSecurity>
  <Lines>74</Lines>
  <Paragraphs>21</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SECTOR DE COMUNICACIONES Y TRANSPORTES</vt:lpstr>
      <vt:lpstr>DESGLOSE DE COSTOS.</vt:lpstr>
      <vt:lpstr>ANÁLISIS DE COSTO DE FINANCIAMIENTO.</vt:lpstr>
      <vt:lpstr>LINEAMIENTOS DE SEGURIDAD.</vt:lpstr>
      <vt:lpstr>DETERMINACIÓN DEL CARGO POR UTILIDAD</vt:lpstr>
      <vt:lpstr>DETERMINACIÓN DE CARGOS ADICIONALES</vt:lpstr>
      <vt:lpstr>PARIDAD PESO-DÓLAR EN SU ANÁLISIS DE COSTO HORARIO</vt:lpstr>
      <vt:lpstr>EROGACIONES DENTRO DEL FACTOR DEL SALARIO REAL.</vt:lpstr>
      <vt:lpstr>DESGLOSE DE INDIRECTOS.</vt:lpstr>
      <vt:lpstr>HORARIO DE TRABAJO.</vt:lpstr>
      <vt:lpstr>PROGRAMA DE OBRA.</vt:lpstr>
      <vt:lpstr>DAÑOS Y REPARACIONES.</vt:lpstr>
      <vt:lpstr>CUOTAS DE PEAJE.</vt:lpstr>
      <vt:lpstr>PRINCIPALES MEDIDAS DE CONTROL ECOLÓGICO.</vt:lpstr>
      <vt:lpstr>AMBIENTALES Y DE PROTECCIÓN A LOS ENTORNOS NATURALES DE ZONAS, MONUMENTOS Y VEST</vt:lpstr>
      <vt:lpstr>RELACIÓN DE ESPECIFICACIONES.</vt:lpstr>
      <vt:lpstr>ADECUACIONES DEL PROYECTO EN OBRA.</vt:lpstr>
      <vt:lpstr>INTEGRACIÓN DE LOS PRECIOS UNITARIOS.</vt:lpstr>
      <vt:lpstr>PAGO DE ESTIMACIONES</vt:lpstr>
    </vt:vector>
  </TitlesOfParts>
  <Company>CAMINOS Y PUENTES FEDERALES</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10</cp:revision>
  <cp:lastPrinted>2014-05-09T17:14:00Z</cp:lastPrinted>
  <dcterms:created xsi:type="dcterms:W3CDTF">2014-09-10T18:49:00Z</dcterms:created>
  <dcterms:modified xsi:type="dcterms:W3CDTF">2015-03-05T01:18:00Z</dcterms:modified>
</cp:coreProperties>
</file>